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pacing w:val="76"/>
          <w:sz w:val="156"/>
          <w:highlight w:val="none"/>
          <w14:textFill>
            <w14:solidFill>
              <w14:schemeClr w14:val="tx1"/>
            </w14:solidFill>
          </w14:textFill>
        </w:rPr>
      </w:pPr>
      <w:r>
        <w:rPr>
          <w:rFonts w:hint="eastAsia" w:ascii="宋体" w:hAnsi="宋体" w:eastAsia="宋体" w:cs="宋体"/>
          <w:color w:val="000000" w:themeColor="text1"/>
          <w:spacing w:val="76"/>
          <w:sz w:val="156"/>
          <w:highlight w:val="none"/>
          <w14:textFill>
            <w14:solidFill>
              <w14:schemeClr w14:val="tx1"/>
            </w14:solidFill>
          </w14:textFill>
        </w:rPr>
        <w:t xml:space="preserve">招标文件</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18"/>
        <w:rPr>
          <w:rFonts w:hint="eastAsia"/>
        </w:rPr>
      </w:pPr>
      <w:r>
        <w:rPr>
          <w:rFonts w:hint="eastAsia"/>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cs="宋体"/>
          <w:color w:val="000000" w:themeColor="text1"/>
          <w:sz w:val="32"/>
          <w:highlight w:val="none"/>
          <w:lang w:eastAsia="zh-CN"/>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睢宁县沙集镇8吨水罐消防车采购</w:t>
      </w:r>
      <w:r/>
    </w:p>
    <w:p>
      <w:pPr>
        <w:ind w:left="840"/>
        <w:keepLines w:val="0"/>
        <w:keepNext w:val="0"/>
        <w:pageBreakBefore w:val="0"/>
        <w:spacing w:line="360" w:lineRule="auto"/>
        <w:widowControl w:val="off"/>
        <w:rPr>
          <w:rFonts w:hint="default" w:ascii="宋体" w:hAnsi="宋体" w:cs="宋体"/>
          <w:color w:val="000000" w:themeColor="text1"/>
          <w:sz w:val="32"/>
          <w:szCs w:val="32"/>
          <w:highlight w:val="yellow"/>
          <w:lang w:val="en-US" w:eastAsia="zh-CN"/>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JSZC-320324-</w:t>
      </w:r>
      <w:r>
        <w:rPr>
          <w:rFonts w:hint="eastAsia" w:ascii="宋体" w:hAnsi="宋体" w:cs="宋体"/>
          <w:color w:val="000000" w:themeColor="text1"/>
          <w:sz w:val="32"/>
          <w:szCs w:val="32"/>
          <w:highlight w:val="none"/>
          <w:lang w:val="en-US" w:eastAsia="zh-CN"/>
          <w14:textFill>
            <w14:solidFill>
              <w14:schemeClr w14:val="tx1"/>
            </w14:solidFill>
          </w14:textFill>
        </w:rPr>
        <w:t xml:space="preserve">JSRL</w:t>
      </w:r>
      <w:r>
        <w:rPr>
          <w:rFonts w:hint="eastAsia" w:ascii="宋体" w:hAnsi="宋体" w:cs="宋体"/>
          <w:color w:val="000000" w:themeColor="text1"/>
          <w:sz w:val="32"/>
          <w:szCs w:val="32"/>
          <w:highlight w:val="none"/>
          <w:lang w:eastAsia="zh-CN"/>
          <w14:textFill>
            <w14:solidFill>
              <w14:schemeClr w14:val="tx1"/>
            </w14:solidFill>
          </w14:textFill>
        </w:rPr>
        <w:t xml:space="preserve">-G2025-0008</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睢宁县沙集镇人民政府</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w:t>
      </w:r>
      <w:r>
        <w:rPr>
          <w:rFonts w:hint="eastAsia" w:ascii="宋体" w:hAnsi="宋体" w:cs="宋体"/>
          <w:color w:val="000000" w:themeColor="text1"/>
          <w:sz w:val="32"/>
          <w:szCs w:val="32"/>
          <w:highlight w:val="none"/>
          <w:lang w:eastAsia="zh-CN"/>
          <w14:textFill>
            <w14:solidFill>
              <w14:schemeClr w14:val="tx1"/>
            </w14:solidFill>
          </w14:textFill>
        </w:rPr>
        <w:t xml:space="preserve">江苏瑞利项目管理有限公司</w:t>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eastAsia="zh-CN"/>
          <w14:textFill>
            <w14:solidFill>
              <w14:schemeClr w14:val="tx1"/>
            </w14:solidFill>
          </w14:textFill>
        </w:rPr>
        <w:t xml:space="preserve">十</w:t>
      </w:r>
      <w:r>
        <w:rPr>
          <w:rFonts w:hint="eastAsia" w:ascii="宋体" w:hAnsi="宋体" w:cs="宋体"/>
          <w:color w:val="000000" w:themeColor="text1"/>
          <w:sz w:val="32"/>
          <w:szCs w:val="32"/>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674"/>
        <w:ind w:firstLine="880"/>
        <w:jc w:val="cente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目录</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widowControl/>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lang w:val="en-US"/>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eastAsia="zh-CN"/>
          <w14:textFill>
            <w14:solidFill>
              <w14:schemeClr w14:val="tx1"/>
            </w14:solidFill>
          </w14:textFill>
        </w:rPr>
        <w:t xml:space="preserve">睢宁县沙集镇8吨水罐消防车采购</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招标文件</w:t>
      </w:r>
      <w:r/>
    </w:p>
    <w:p>
      <w:pPr>
        <w:pStyle w:val="898"/>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江苏瑞利项目管理有限公司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睢宁县沙集镇8吨水罐消防车采购</w:t>
      </w:r>
      <w:r>
        <w:rPr>
          <w:rFonts w:hint="eastAsia" w:ascii="宋体" w:hAnsi="宋体" w:eastAsia="宋体" w:cs="宋体"/>
          <w:color w:val="000000" w:themeColor="text1"/>
          <w:sz w:val="24"/>
          <w:highlight w:val="none"/>
          <w14:textFill>
            <w14:solidFill>
              <w14:schemeClr w14:val="tx1"/>
            </w14:solidFill>
          </w14:textFill>
        </w:rPr>
        <w:t xml:space="preserve">进行公开招标采购，现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邀请</w:t>
      </w:r>
      <w:r>
        <w:rPr>
          <w:rFonts w:hint="eastAsia" w:ascii="宋体" w:hAnsi="宋体" w:eastAsia="宋体" w:cs="宋体"/>
          <w:color w:val="000000" w:themeColor="text1"/>
          <w:sz w:val="24"/>
          <w:highlight w:val="none"/>
          <w14:textFill>
            <w14:solidFill>
              <w14:schemeClr w14:val="tx1"/>
            </w14:solidFill>
          </w14:textFill>
        </w:rPr>
        <w:t xml:space="preserve">符合相关条件的供应商投标。</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一、项目名称和项目编号</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睢宁县沙集镇8吨水罐消防车采购</w:t>
      </w:r>
      <w:r/>
    </w:p>
    <w:p>
      <w:pPr>
        <w:ind w:firstLine="480"/>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JSZC-320324-JSRL-G2025-0008</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二、投标人的资格要求：</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）售价：免费。 </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四、投标有关信息</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6年01月21日</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北京时间</w:t>
      </w:r>
      <w:r>
        <w:rPr>
          <w:rFonts w:hint="eastAsia" w:ascii="宋体" w:hAnsi="宋体" w:cs="宋体"/>
          <w:b w:val="0"/>
          <w:bCs w:val="0"/>
          <w:color w:val="000000" w:themeColor="text1"/>
          <w:sz w:val="24"/>
          <w:highlight w:val="none"/>
          <w:lang w:eastAsia="zh-CN"/>
          <w14:textFill>
            <w14:solidFill>
              <w14:schemeClr w14:val="tx1"/>
            </w14:solidFill>
          </w14:textFill>
        </w:rPr>
        <w:t xml:space="preserve">9：10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ff"/>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highlight w:val="none"/>
          <w14:textFill>
            <w14:solidFill>
              <w14:schemeClr w14:val="tx1"/>
            </w14:solidFill>
          </w14:textFill>
        </w:rPr>
        <w:t xml:space="preserve">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01月21</w:t>
      </w:r>
      <w:bookmarkStart w:id="3" w:name="_GoBack"/>
      <w:r/>
      <w:bookmarkEnd w:id="3"/>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北京时间</w:t>
      </w:r>
      <w:r>
        <w:rPr>
          <w:rFonts w:hint="eastAsia" w:ascii="宋体" w:hAnsi="宋体" w:cs="宋体"/>
          <w:b w:val="0"/>
          <w:bCs w:val="0"/>
          <w:color w:val="000000" w:themeColor="text1"/>
          <w:sz w:val="24"/>
          <w:highlight w:val="none"/>
          <w:lang w:eastAsia="zh-CN"/>
          <w14:textFill>
            <w14:solidFill>
              <w14:schemeClr w14:val="tx1"/>
            </w14:solidFill>
          </w14:textFill>
        </w:rPr>
        <w:t xml:space="preserve">9：10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五、采购人</w:t>
      </w:r>
      <w:r/>
    </w:p>
    <w:p>
      <w:pPr>
        <w:ind w:left="0" w:firstLine="480"/>
        <w:keepLines w:val="0"/>
        <w:keepNext w:val="0"/>
        <w:pageBreakBefore w:val="0"/>
        <w:spacing w:line="336"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1.名 称：</w:t>
      </w:r>
      <w:r>
        <w:rPr>
          <w:rFonts w:hint="eastAsia" w:ascii="宋体" w:hAnsi="宋体" w:cs="宋体"/>
          <w:color w:val="auto"/>
          <w:sz w:val="24"/>
          <w:highlight w:val="none"/>
          <w:lang w:eastAsia="zh-CN"/>
        </w:rPr>
        <w:t xml:space="preserve">睢宁县沙集镇人民政府</w:t>
      </w:r>
      <w:r/>
    </w:p>
    <w:p>
      <w:pPr>
        <w:ind w:left="0" w:firstLine="480"/>
        <w:keepLines w:val="0"/>
        <w:keepNext w:val="0"/>
        <w:pageBreakBefore w:val="0"/>
        <w:spacing w:line="336"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2.地址：</w:t>
      </w:r>
      <w:r>
        <w:rPr>
          <w:rFonts w:hint="eastAsia" w:ascii="宋体" w:hAnsi="宋体" w:cs="宋体"/>
          <w:color w:val="auto"/>
          <w:sz w:val="24"/>
          <w:highlight w:val="none"/>
          <w:lang w:val="en-US" w:eastAsia="zh-CN"/>
        </w:rPr>
        <w:t xml:space="preserve">江苏省徐州市睢宁县沙集镇府前路</w:t>
      </w:r>
      <w:r/>
    </w:p>
    <w:p>
      <w:pPr>
        <w:ind w:left="0" w:firstLine="480"/>
        <w:keepLines w:val="0"/>
        <w:keepNext w:val="0"/>
        <w:pageBreakBefore w:val="0"/>
        <w:spacing w:line="336"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3.联系方法：</w:t>
      </w:r>
      <w:r>
        <w:rPr>
          <w:rFonts w:hint="eastAsia" w:ascii="宋体" w:hAnsi="宋体" w:cs="宋体"/>
          <w:color w:val="auto"/>
          <w:sz w:val="24"/>
          <w:highlight w:val="none"/>
          <w:lang w:val="en-US" w:eastAsia="zh-CN"/>
        </w:rPr>
        <w:t xml:space="preserve">沙海岩</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4.采购项目联系人：</w:t>
      </w:r>
      <w:r>
        <w:rPr>
          <w:rFonts w:hint="eastAsia" w:ascii="宋体" w:hAnsi="宋体" w:cs="宋体"/>
          <w:color w:val="auto"/>
          <w:sz w:val="24"/>
          <w:highlight w:val="none"/>
          <w:lang w:eastAsia="zh-CN"/>
        </w:rPr>
        <w:t xml:space="preserve">18251799880</w:t>
      </w:r>
      <w:r>
        <w:rPr>
          <w:rFonts w:hint="eastAsia" w:ascii="宋体" w:hAnsi="宋体" w:eastAsia="宋体" w:cs="宋体"/>
          <w:color w:val="auto"/>
          <w:sz w:val="24"/>
          <w:highlight w:val="none"/>
        </w:rPr>
        <w:t xml:space="preserve">      </w:t>
      </w:r>
      <w:r>
        <w:rPr>
          <w:rFonts w:hint="eastAsia" w:ascii="宋体" w:hAnsi="宋体" w:eastAsia="宋体" w:cs="宋体"/>
          <w:color w:val="0000ff"/>
          <w:sz w:val="24"/>
          <w:highlight w:val="none"/>
        </w:rPr>
        <w:t xml:space="preserve">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六、采购代理机构</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1．名称：</w:t>
      </w:r>
      <w:r>
        <w:rPr>
          <w:rFonts w:hint="eastAsia" w:ascii="宋体" w:hAnsi="宋体" w:cs="宋体"/>
          <w:color w:val="000000" w:themeColor="text1"/>
          <w:sz w:val="24"/>
          <w:highlight w:val="none"/>
          <w:lang w:eastAsia="zh-CN"/>
          <w14:textFill>
            <w14:solidFill>
              <w14:schemeClr w14:val="tx1"/>
            </w14:solidFill>
          </w14:textFill>
        </w:rPr>
        <w:t xml:space="preserve">江苏瑞利项目管理有限公司</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val="en-US" w:eastAsia="zh-CN"/>
          <w14:textFill>
            <w14:solidFill>
              <w14:schemeClr w14:val="tx1"/>
            </w14:solidFill>
          </w14:textFill>
        </w:rPr>
        <w:t xml:space="preserve">睢宁县睢城街道润景商务广场1#楼3楼</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13685119726</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王霄霄</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第二章  投标人须知</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四、开标</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1.所有投标单位凭CA证书在到达开标时间时，解密各自投标文件。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2.投标人不足3家的，不得开标。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3.开标过程由采购代理机构负责记录。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委员会认为投标人的报价明显低于其他通过符合性审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查的</w:t>
      </w:r>
      <w:r>
        <w:rPr>
          <w:rFonts w:hint="eastAsia" w:ascii="宋体" w:hAnsi="宋体" w:eastAsia="宋体" w:cs="宋体"/>
          <w:color w:val="000000" w:themeColor="text1"/>
          <w:sz w:val="24"/>
          <w:szCs w:val="24"/>
          <w:highlight w:val="none"/>
          <w14:textFill>
            <w14:solidFill>
              <w14:schemeClr w14:val="tx1"/>
            </w14:solidFill>
          </w14:textFill>
        </w:rPr>
        <w:t xml:space="preserve">投标人的报价，有可能影响产品质量或者不能诚信履约的，应当要求其在评标现场合理的时间内提供书面说明，必要时提交相关证明材料；投标人不能证明其报价合理性的，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六、定标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七、政府采购合同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中标人应当在评审结果公</w:t>
      </w:r>
      <w:r>
        <w:rPr>
          <w:rFonts w:hint="eastAsia" w:ascii="宋体" w:hAnsi="宋体" w:cs="宋体"/>
          <w:color w:val="000000" w:themeColor="text1"/>
          <w:sz w:val="24"/>
          <w:szCs w:val="24"/>
          <w:highlight w:val="none"/>
          <w:lang w:eastAsia="zh-CN"/>
          <w14:textFill>
            <w14:solidFill>
              <w14:schemeClr w14:val="tx1"/>
            </w14:solidFill>
          </w14:textFill>
        </w:rPr>
        <w:t xml:space="preserve">示之</w:t>
      </w:r>
      <w:r>
        <w:rPr>
          <w:rFonts w:hint="eastAsia" w:ascii="宋体" w:hAnsi="宋体" w:eastAsia="宋体" w:cs="宋体"/>
          <w:color w:val="000000" w:themeColor="text1"/>
          <w:sz w:val="24"/>
          <w:szCs w:val="24"/>
          <w:highlight w:val="none"/>
          <w14:textFill>
            <w14:solidFill>
              <w14:schemeClr w14:val="tx1"/>
            </w14:solidFill>
          </w14:textFill>
        </w:rPr>
        <w:t xml:space="preserve">日起三日内，向采购人提交本文件第三章《投标资料表》中规定金额的履约保证金。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九、电子招标投标交易平台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投标资料表</w:t>
      </w:r>
      <w:r/>
    </w:p>
    <w:p>
      <w:pPr>
        <w:pStyle w:val="696"/>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67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6"/>
        <w:gridCol w:w="7733"/>
      </w:tblGrid>
      <w:tr>
        <w:trPr>
          <w:jc w:val="center"/>
          <w:trHeight w:val="369"/>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keepLines w:val="0"/>
              <w:keepNext w:val="0"/>
              <w:pageBreakBefore w:val="0"/>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睢宁县沙集镇人民政府</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421"/>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p>
          <w:p>
            <w:pPr>
              <w:keepLines w:val="0"/>
              <w:keepNext w:val="0"/>
              <w:pageBreakBefore w:val="0"/>
              <w:spacing w:line="288" w:lineRule="auto"/>
              <w:widowControl w:val="off"/>
              <w:rPr>
                <w:rFonts w:hint="eastAsia"/>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本项目是否为专门面向中小微企业采购的项目：</w:t>
            </w:r>
            <w:r>
              <w:rPr>
                <w:rFonts w:hint="eastAsia" w:ascii="宋体" w:hAnsi="宋体" w:cs="宋体"/>
                <w:b/>
                <w:bCs/>
                <w:color w:val="000000" w:themeColor="text1"/>
                <w:sz w:val="24"/>
                <w:highlight w:val="none"/>
                <w:lang w:val="en-US" w:eastAsia="zh-CN"/>
                <w14:textFill>
                  <w14:solidFill>
                    <w14:schemeClr w14:val="tx1"/>
                  </w14:solidFill>
                </w14:textFill>
              </w:rPr>
              <w:t xml:space="preserve">否</w:t>
            </w:r>
            <w:r/>
          </w:p>
        </w:tc>
      </w:tr>
      <w:tr>
        <w:trPr>
          <w:jc w:val="center"/>
          <w:trHeight w:val="544"/>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江苏瑞利项目管理有限公司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投标人的资格条件：</w:t>
            </w:r>
            <w:r/>
          </w:p>
          <w:p>
            <w:pPr>
              <w:jc w:val="both"/>
              <w:spacing w:line="400" w:lineRule="exact"/>
              <w:widowControl w:val="off"/>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一、符合《中华人民共和国政府采购法》第二十二条的规定。</w:t>
            </w:r>
            <w:r/>
          </w:p>
          <w:p>
            <w:pPr>
              <w:spacing w:line="312"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二、落实政府采购政策需满足的资格要求：</w:t>
            </w:r>
            <w:r>
              <w:rPr>
                <w:rFonts w:hint="eastAsia" w:ascii="宋体" w:hAnsi="宋体" w:cs="宋体"/>
                <w:b/>
                <w:bCs/>
                <w:color w:val="auto"/>
                <w:sz w:val="24"/>
                <w:highlight w:val="none"/>
                <w:shd w:val="clear" w:color="auto" w:fill="auto"/>
              </w:rPr>
              <w:t xml:space="preserve">本项目不属于专门面向中小企业采购的项目。</w:t>
            </w:r>
            <w:r/>
          </w:p>
          <w:p>
            <w:pPr>
              <w:pStyle w:val="709"/>
              <w:jc w:val="both"/>
              <w:spacing w:beforeAutospacing="0" w:afterAutospacing="0" w:line="10" w:lineRule="atLeas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三、本项目的特定资格要求：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无</w:t>
            </w:r>
            <w:r/>
          </w:p>
          <w:p>
            <w:pPr>
              <w:jc w:val="left"/>
              <w:spacing w:line="400" w:lineRule="exact"/>
              <w:widowControl w:val="off"/>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同时明确相关事项如下：</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1、本项目不接受联合体参与采购活动。</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2、单位负责人为同一人或者存在直接控股、管理关系的不同供应商，不得参加同一合同项下的政府采购活动。</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3、为本采购项目提供整体设计、规范编制或者项目管理、监理、检测等服务的供应商，不得再参加本采购项目的采购活动。</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4、查询及使用供应商信用记录：</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由采购人查询信用信息。</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查询渠道包括：</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①“信用中国”网（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"http://www.creditchina.gov.cn/" \o "http://www.creditchina.gov.cn/"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www.creditchina.gov.cn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②中国政府采购网（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"http://www.ccgp.gov.cn/" \o "http://www.ccgp.gov.cn/"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www.ccgp.gov.cn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③“信用江苏”网（http://credit.jiangsu.gov.cn/）；</w:t>
            </w:r>
            <w:r/>
          </w:p>
          <w:p>
            <w:pPr>
              <w:pStyle w:val="685"/>
              <w:jc w:val="left"/>
              <w:spacing w:line="400" w:lineRule="exact"/>
              <w:rPr>
                <w:rFonts w:eastAsia="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④“信用中国（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徐州）”网（http://www.xuzhoucredit.gov.cn）；</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截止时点（查询环节）：开标后资格审查结束前。</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信用信息查询记录和证据留存的具体方式：网页截屏打印，与其他采购文件一并保存。</w:t>
            </w:r>
            <w:r/>
          </w:p>
          <w:p>
            <w:pPr>
              <w:pStyle w:val="685"/>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信用信息的使用规则：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招标代理服务费由中标人支付，</w:t>
            </w:r>
            <w:r>
              <w:rPr>
                <w:rFonts w:hint="eastAsia" w:ascii="宋体" w:hAnsi="宋体" w:cs="宋体"/>
                <w:color w:val="auto"/>
                <w:sz w:val="24"/>
                <w:highlight w:val="none"/>
                <w:shd w:val="clear" w:color="auto" w:fill="auto"/>
                <w:lang w:eastAsia="zh-CN"/>
              </w:rPr>
              <w:t xml:space="preserve">标准按</w:t>
            </w:r>
            <w:r>
              <w:rPr>
                <w:rFonts w:hint="eastAsia" w:ascii="宋体" w:hAnsi="宋体" w:cs="宋体"/>
                <w:color w:val="auto"/>
                <w:sz w:val="24"/>
                <w:highlight w:val="none"/>
                <w:shd w:val="clear" w:color="auto" w:fill="auto"/>
              </w:rPr>
              <w:t xml:space="preserve">《招标代理服务收费标准》</w:t>
            </w:r>
            <w:r>
              <w:rPr>
                <w:rFonts w:hint="eastAsia" w:ascii="宋体" w:hAnsi="宋体" w:eastAsia="宋体" w:cs="宋体"/>
                <w:color w:val="000000" w:themeColor="text1"/>
                <w:sz w:val="24"/>
                <w:highlight w:val="none"/>
                <w14:textFill>
                  <w14:solidFill>
                    <w14:schemeClr w14:val="tx1"/>
                  </w14:solidFill>
                </w14:textFill>
              </w:rPr>
              <w:t xml:space="preserve">（见附件）。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ind w:firstLine="48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eastAsia="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pStyle w:val="685"/>
              <w:ind w:firstLine="200"/>
              <w:jc w:val="cente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(九)2</w:t>
            </w:r>
            <w:r/>
          </w:p>
        </w:tc>
        <w:tc>
          <w:tcPr>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685"/>
              <w:ind w:firstLine="200"/>
              <w:spacing w:line="400" w:lineRule="exact"/>
              <w:tabs>
                <w:tab w:val="left" w:pos="57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pStyle w:val="685"/>
              <w:ind w:firstLine="200"/>
              <w:jc w:val="cente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(九)3</w:t>
            </w:r>
            <w:r/>
          </w:p>
        </w:tc>
        <w:tc>
          <w:tcPr>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685"/>
              <w:ind w:firstLine="2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p>
            <w:pPr>
              <w:pStyle w:val="723"/>
              <w:jc w:val="center"/>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投标文件编制要求</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一、基本目录</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2.《授权委托书》（提供原件的扫描件，加盖电子签章，格式见招标文件第七章《投标文件相关格式》）；</w:t>
            </w:r>
            <w:r/>
          </w:p>
          <w:p>
            <w:pPr>
              <w:pStyle w:val="683"/>
              <w:numPr>
                <w:ilvl w:val="0"/>
                <w:numId w:val="0"/>
              </w:numP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.所投产品的环境标志产品认证证书的扫描件（如有）。</w:t>
            </w:r>
            <w:r/>
          </w:p>
          <w:p>
            <w:pPr>
              <w:pStyle w:val="683"/>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683"/>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683"/>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683"/>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.所投产品的节能产品认证证书的扫描件（如有）。</w:t>
            </w:r>
            <w:r/>
          </w:p>
          <w:p>
            <w:pPr>
              <w:pStyle w:val="683"/>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683"/>
              <w:ind w:firstLine="24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684"/>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二、资格条件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b/>
                <w:color w:val="auto"/>
                <w:sz w:val="24"/>
                <w:szCs w:val="24"/>
                <w:highlight w:val="none"/>
                <w:shd w:val="clear" w:color="auto" w:fill="auto"/>
              </w:rPr>
              <w:t xml:space="preserve">以下1-</w:t>
            </w:r>
            <w:r>
              <w:rPr>
                <w:rFonts w:hint="eastAsia" w:ascii="宋体" w:hAnsi="宋体" w:cs="宋体"/>
                <w:b/>
                <w:color w:val="auto"/>
                <w:sz w:val="24"/>
                <w:szCs w:val="24"/>
                <w:highlight w:val="none"/>
                <w:shd w:val="clear" w:color="auto" w:fill="auto"/>
                <w:lang w:val="en-US" w:eastAsia="zh-CN"/>
              </w:rPr>
              <w:t xml:space="preserve">7</w:t>
            </w:r>
            <w:r>
              <w:rPr>
                <w:rFonts w:hint="eastAsia" w:ascii="宋体" w:hAnsi="宋体" w:cs="宋体"/>
                <w:b/>
                <w:color w:val="auto"/>
                <w:sz w:val="24"/>
                <w:szCs w:val="24"/>
                <w:highlight w:val="none"/>
                <w:shd w:val="clear" w:color="auto" w:fill="auto"/>
              </w:rPr>
              <w:t xml:space="preserve">必须提供且加盖电子签章，否则投标无效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1.投标人合法有效的法人或者其他组织的营业执照等证明文件，自然人的身份证明。</w:t>
            </w:r>
            <w:r>
              <w:rPr>
                <w:rFonts w:hint="eastAsia" w:ascii="宋体" w:hAnsi="宋体" w:eastAsia="宋体" w:cs="宋体"/>
                <w:b/>
                <w:bCs/>
                <w:color w:val="000000" w:themeColor="text1"/>
                <w:sz w:val="24"/>
                <w:highlight w:val="none"/>
                <w14:textFill>
                  <w14:solidFill>
                    <w14:schemeClr w14:val="tx1"/>
                  </w14:solidFill>
                </w14:textFill>
              </w:rPr>
              <w:t xml:space="preserve">以上证明文件提供</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的扫描件</w:t>
            </w:r>
            <w:r>
              <w:rPr>
                <w:rFonts w:hint="eastAsia" w:ascii="宋体" w:hAnsi="宋体" w:cs="宋体"/>
                <w:color w:val="000000" w:themeColor="text1"/>
                <w:sz w:val="24"/>
                <w:highlight w:val="none"/>
                <w:lang w:eastAsia="zh-CN"/>
                <w14:textFill>
                  <w14:solidFill>
                    <w14:schemeClr w14:val="tx1"/>
                  </w14:solidFill>
                </w14:textFill>
              </w:rPr>
              <w:t xml:space="preserve">，加盖电子签章。</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财务状况报告</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（即提供投标人的本项目开标时间前6个月内</w:t>
            </w:r>
            <w:r>
              <w:rPr>
                <w:rFonts w:hint="eastAsia" w:ascii="宋体" w:hAnsi="宋体" w:cs="宋体"/>
                <w:b w:val="0"/>
                <w:bCs/>
                <w:color w:val="auto"/>
                <w:sz w:val="24"/>
                <w:szCs w:val="24"/>
                <w:highlight w:val="none"/>
                <w:shd w:val="clear" w:color="auto" w:fill="auto"/>
              </w:rPr>
              <w:t xml:space="preserve">（不含开标当月）</w:t>
            </w:r>
            <w:r>
              <w:rPr>
                <w:rFonts w:hint="eastAsia" w:ascii="宋体" w:hAnsi="宋体" w:eastAsia="宋体" w:cs="宋体"/>
                <w:color w:val="000000" w:themeColor="text1"/>
                <w:sz w:val="24"/>
                <w:highlight w:val="none"/>
                <w14:textFill>
                  <w14:solidFill>
                    <w14:schemeClr w14:val="tx1"/>
                  </w14:solidFill>
                </w14:textFill>
              </w:rPr>
              <w:t xml:space="preserve">任何时间的资产负债表、利润表各一份或提供投标人上年度财务报告或投标人的本项目开标时间前6个月内</w:t>
            </w:r>
            <w:r>
              <w:rPr>
                <w:rFonts w:hint="eastAsia" w:ascii="宋体" w:hAnsi="宋体" w:cs="宋体"/>
                <w:b w:val="0"/>
                <w:bCs/>
                <w:color w:val="auto"/>
                <w:sz w:val="24"/>
                <w:szCs w:val="24"/>
                <w:highlight w:val="none"/>
                <w:shd w:val="clear" w:color="auto" w:fill="auto"/>
              </w:rPr>
              <w:t xml:space="preserve">（不含开标当月）</w:t>
            </w:r>
            <w:r>
              <w:rPr>
                <w:rFonts w:hint="eastAsia" w:ascii="宋体" w:hAnsi="宋体" w:eastAsia="宋体" w:cs="宋体"/>
                <w:color w:val="000000" w:themeColor="text1"/>
                <w:sz w:val="24"/>
                <w:highlight w:val="none"/>
                <w14:textFill>
                  <w14:solidFill>
                    <w14:schemeClr w14:val="tx1"/>
                  </w14:solidFill>
                </w14:textFill>
              </w:rPr>
              <w:t xml:space="preserve">银行出具的资信证明扫描件）加盖电子签章</w:t>
            </w:r>
            <w:r>
              <w:rPr>
                <w:rFonts w:hint="eastAsia" w:ascii="宋体" w:hAnsi="宋体" w:cs="宋体"/>
                <w:color w:val="000000" w:themeColor="text1"/>
                <w:sz w:val="24"/>
                <w:highlight w:val="none"/>
                <w:lang w:eastAsia="zh-CN"/>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685"/>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w:t>
            </w:r>
            <w:r>
              <w:rPr>
                <w:rFonts w:hint="eastAsia" w:ascii="宋体" w:hAnsi="宋体" w:cs="宋体"/>
                <w:b w:val="0"/>
                <w:bCs/>
                <w:color w:val="auto"/>
                <w:sz w:val="24"/>
                <w:szCs w:val="24"/>
                <w:highlight w:val="none"/>
                <w:shd w:val="clear" w:color="auto" w:fill="auto"/>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color w:val="000000" w:themeColor="text1"/>
                <w:sz w:val="24"/>
                <w:highlight w:val="none"/>
                <w:lang w:eastAsia="zh-CN"/>
                <w14:textFill>
                  <w14:solidFill>
                    <w14:schemeClr w14:val="tx1"/>
                  </w14:solidFill>
                </w14:textFill>
              </w:rPr>
              <w:t xml:space="preserve">加盖电子签章。</w:t>
            </w:r>
            <w:r/>
          </w:p>
          <w:p>
            <w:pPr>
              <w:ind w:right="0"/>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eastAsia="宋体" w:cs="宋体"/>
                <w:color w:val="000000" w:themeColor="text1"/>
                <w:sz w:val="24"/>
                <w:highlight w:val="none"/>
                <w14:textFill>
                  <w14:solidFill>
                    <w14:schemeClr w14:val="tx1"/>
                  </w14:solidFill>
                </w14:textFill>
              </w:rPr>
              <w:t xml:space="preserve">》（加盖电子签章，格式见招标文件第七章《投标文件相关格式》）。</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8.投标人信用信息（要求见本章条款项号“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中“4”</w:t>
            </w:r>
            <w:r>
              <w:rPr>
                <w:rFonts w:hint="eastAsia" w:ascii="宋体" w:hAnsi="宋体" w:eastAsia="宋体" w:cs="宋体"/>
                <w:color w:val="000000" w:themeColor="text1"/>
                <w:sz w:val="24"/>
                <w:highlight w:val="none"/>
                <w14:textFill>
                  <w14:solidFill>
                    <w14:schemeClr w14:val="tx1"/>
                  </w14:solidFill>
                </w14:textFill>
              </w:rPr>
              <w:t xml:space="preserve">内容）。</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三、符合条件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（一）报价</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1、《开标一览表》（加盖电子签章，格式见招标文件第七章《投标文件相关格式》；）</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2、《分项价格表》（加盖电子签章，格式见招标文件第七章《投标文件相关格式》。）</w:t>
            </w:r>
            <w:r/>
          </w:p>
          <w:p>
            <w:pPr>
              <w:pStyle w:val="684"/>
              <w:jc w:val="both"/>
              <w:keepLines w:val="0"/>
              <w:keepNext w:val="0"/>
              <w:pageBreakBefore w:val="0"/>
              <w:spacing w:after="0" w:line="312"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（二）商务资信</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.《投标函》（加盖电子签章，格式见招标文件第七章《投标文件相关格式》）；</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《授权委托书》（加盖电子签章，格式见招标文件第七章《投标文件相关格式》）</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pStyle w:val="684"/>
              <w:jc w:val="both"/>
              <w:keepLines w:val="0"/>
              <w:keepNext w:val="0"/>
              <w:pageBreakBefore w:val="0"/>
              <w:spacing w:after="0" w:line="312"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（三）技术响应</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pStyle w:val="684"/>
              <w:jc w:val="both"/>
              <w:keepLines w:val="0"/>
              <w:keepNext w:val="0"/>
              <w:pageBreakBefore w:val="0"/>
              <w:spacing w:after="0" w:line="312"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四</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、综合评审评分项</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（一）技术部分</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要求见招标文件第四章《评标标准》、第五章《采购需求》。</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（二）商务部分</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要求见招标文件第四章《评标标准》、第五章《采购需求》。</w:t>
            </w:r>
            <w:r/>
          </w:p>
          <w:p>
            <w:pPr>
              <w:numPr>
                <w:ilvl w:val="0"/>
                <w:numId w:val="2"/>
              </w:num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价格折扣文件格式</w:t>
            </w:r>
            <w:r/>
          </w:p>
          <w:p>
            <w:pPr>
              <w:pStyle w:val="684"/>
              <w:numPr>
                <w:ilvl w:val="0"/>
                <w:numId w:val="0"/>
              </w:numPr>
              <w:jc w:val="both"/>
              <w:keepLines w:val="0"/>
              <w:keepNext w:val="0"/>
              <w:pageBreakBefore w:val="0"/>
              <w:spacing w:after="0" w:line="312" w:lineRule="auto"/>
              <w:rPr>
                <w:rFonts w:hint="eastAsia" w:ascii="宋体" w:hAnsi="宋体" w:eastAsia="宋体" w:cs="宋体"/>
                <w:b w:val="0"/>
                <w:bCs w:val="0"/>
                <w:color w:val="000000" w:themeColor="text1"/>
                <w:sz w:val="24"/>
                <w:szCs w:val="22"/>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企业报价折扣证明：投标人提供的货物全部由符合政策要求的中小企业承接的，提供《中小企业声明函》（加盖电子签章，格式见招标文件第七章《投标文件相关格式》</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如不填写完整或未按要求填写的，视为无效）。</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查询渠道参考工业和信息化部发布的中小企业规模自测小程序。</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注：监狱企业和残疾人福利性单位等同于小微企业。</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投标人为监狱企业的，提供省级以上监狱管理局、戒毒管理局（含新疆生产建设兵团）出具的属于监狱企业的证明文件原件的扫描件。</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具体以《财政部 司法部关于政府采购支持监狱企业发展有关问题的通知》（财库〔2014〕68号）的规定为准。</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②依法与安置的每位残疾人签订了一年以上（含一年）的劳动合同或服务协议；</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684"/>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pStyle w:val="684"/>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pStyle w:val="898"/>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商务条件见：</w:t>
            </w:r>
            <w:r/>
          </w:p>
          <w:p>
            <w:pPr>
              <w:pStyle w:val="898"/>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本文件第四章《评标标准》中《评分细则》。</w:t>
            </w:r>
            <w:r/>
          </w:p>
          <w:p>
            <w:pPr>
              <w:jc w:val="both"/>
              <w:keepLines w:val="0"/>
              <w:keepNext w:val="0"/>
              <w:pageBreakBefore w:val="0"/>
              <w:spacing w:line="312"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both"/>
              <w:keepLines w:val="0"/>
              <w:keepNext w:val="0"/>
              <w:pageBreakBefore w:val="0"/>
              <w:spacing w:line="312" w:lineRule="auto"/>
              <w:widowControl/>
              <w:rPr>
                <w:rFonts w:hint="default" w:ascii="宋体" w:hAnsi="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w:t>
            </w:r>
            <w:r>
              <w:rPr>
                <w:rFonts w:hint="eastAsia" w:ascii="宋体" w:hAnsi="宋体" w:cs="宋体"/>
                <w:bCs/>
                <w:color w:val="000000" w:themeColor="text1"/>
                <w:sz w:val="24"/>
                <w:highlight w:val="none"/>
                <w:lang w:eastAsia="zh-CN"/>
                <w14:textFill>
                  <w14:solidFill>
                    <w14:schemeClr w14:val="tx1"/>
                  </w14:solidFill>
                </w14:textFill>
              </w:rPr>
              <w:t xml:space="preserve">预算总金额</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78万元</w:t>
            </w:r>
            <w:r>
              <w:rPr>
                <w:rFonts w:hint="eastAsia" w:ascii="宋体" w:hAnsi="宋体" w:eastAsia="宋体" w:cs="宋体"/>
                <w:bCs/>
                <w:color w:val="000000" w:themeColor="text1"/>
                <w:sz w:val="24"/>
                <w:highlight w:val="none"/>
                <w14:textFill>
                  <w14:solidFill>
                    <w14:schemeClr w14:val="tx1"/>
                  </w14:solidFill>
                </w14:textFill>
              </w:rPr>
              <w:t xml:space="preserve">人民币</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投标人的报价不得高于采购需求里的各采购包的最高限价，具体详见采购需求。</w:t>
            </w:r>
            <w:r>
              <w:rPr>
                <w:rFonts w:hint="eastAsia" w:ascii="宋体" w:hAnsi="宋体" w:eastAsia="宋体" w:cs="宋体"/>
                <w:color w:val="000000" w:themeColor="text1"/>
                <w:sz w:val="24"/>
                <w:highlight w:val="none"/>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jc w:val="both"/>
              <w:keepLines w:val="0"/>
              <w:keepNext w:val="0"/>
              <w:pageBreakBefore w:val="0"/>
              <w:spacing w:line="312" w:lineRule="auto"/>
              <w:widowControl/>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特别说明：通过“苏采云”系统提交政府采购客户端工具导出加密的投标文件（后缀名为zip）。</w:t>
            </w:r>
            <w:r>
              <w:rPr>
                <w:rFonts w:hint="eastAsia" w:ascii="宋体" w:hAnsi="宋体" w:cs="宋体"/>
                <w:b/>
                <w:bCs/>
                <w:color w:val="auto"/>
                <w:sz w:val="24"/>
                <w:highlight w:val="none"/>
                <w:shd w:val="clear" w:color="auto" w:fill="auto"/>
              </w:rPr>
              <w:t xml:space="preserve">投标文件不得超过150</w:t>
            </w:r>
            <w:r>
              <w:rPr>
                <w:rFonts w:hint="eastAsia" w:ascii="宋体" w:hAnsi="宋体" w:cs="宋体"/>
                <w:b/>
                <w:bCs/>
                <w:color w:val="auto"/>
                <w:sz w:val="24"/>
                <w:highlight w:val="none"/>
                <w:shd w:val="clear" w:color="auto" w:fill="auto"/>
                <w:lang w:val="en-US" w:eastAsia="zh-CN"/>
              </w:rPr>
              <w:t xml:space="preserve">M</w:t>
            </w:r>
            <w:r>
              <w:rPr>
                <w:rFonts w:hint="eastAsia" w:ascii="宋体" w:hAnsi="宋体" w:cs="宋体"/>
                <w:b/>
                <w:bCs/>
                <w:color w:val="auto"/>
                <w:sz w:val="24"/>
                <w:highlight w:val="none"/>
                <w:shd w:val="clear" w:color="auto" w:fill="auto"/>
              </w:rPr>
              <w:t xml:space="preserve">！</w:t>
            </w:r>
            <w:r>
              <w:rPr>
                <w:rFonts w:hint="eastAsia" w:ascii="宋体" w:hAnsi="宋体" w:cs="宋体"/>
                <w:color w:val="auto"/>
                <w:sz w:val="24"/>
                <w:highlight w:val="none"/>
                <w:shd w:val="clear" w:color="auto" w:fill="auto"/>
              </w:rPr>
              <w:t xml:space="preserve">（以系统为准）</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说明：本项目通过“苏采云”系统进行电子采购，即投标人投标文件从政府采购客户端工具制作通过“苏采云”系统提交，未提供线上投标文件并解密(因“苏采云”系统导致解密失败的除外)的，投标无效。</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电子投标文件的加密、签署、盖章要求：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1、投标文件的加密要求：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2、投标文件的签署要求：见招标文件第七章《投标文件相关格式》。</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3、投标文件的盖章要求：见招标文件第三章《投标资料表》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2和招标文件第七章《投标文件相关格式》。投标人须通过“苏采云”系统提供的政府采购客户端工具（使用“CA数字证书”）加盖电子签章。</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89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投标文件的提交与接收： </w:t>
            </w:r>
            <w:r/>
          </w:p>
          <w:p>
            <w:pP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一、投标文件提交时间：</w:t>
            </w:r>
            <w:r>
              <w:rPr>
                <w:rFonts w:hint="eastAsia" w:ascii="宋体" w:hAnsi="宋体" w:cs="宋体"/>
                <w:b/>
                <w:bCs/>
                <w:color w:val="auto"/>
                <w:sz w:val="24"/>
                <w:highlight w:val="none"/>
                <w:shd w:val="clear" w:color="auto" w:fill="auto"/>
              </w:rPr>
              <w:t xml:space="preserve">202</w:t>
            </w:r>
            <w:r>
              <w:rPr>
                <w:rFonts w:hint="eastAsia" w:ascii="宋体" w:hAnsi="宋体" w:cs="宋体"/>
                <w:b/>
                <w:bCs/>
                <w:color w:val="auto"/>
                <w:sz w:val="24"/>
                <w:highlight w:val="none"/>
                <w:shd w:val="clear" w:color="auto" w:fill="auto"/>
                <w:lang w:val="en-US" w:eastAsia="zh-CN"/>
              </w:rPr>
              <w:t xml:space="preserve">6</w:t>
            </w:r>
            <w:r>
              <w:rPr>
                <w:rFonts w:hint="eastAsia" w:ascii="宋体" w:hAnsi="宋体" w:cs="宋体"/>
                <w:b/>
                <w:bCs/>
                <w:color w:val="auto"/>
                <w:sz w:val="24"/>
                <w:highlight w:val="none"/>
                <w:shd w:val="clear" w:color="auto" w:fill="auto"/>
              </w:rPr>
              <w:t xml:space="preserve">年</w:t>
            </w:r>
            <w:r>
              <w:rPr>
                <w:rFonts w:hint="eastAsia" w:ascii="宋体" w:hAnsi="宋体" w:cs="宋体"/>
                <w:b/>
                <w:bCs/>
                <w:color w:val="auto"/>
                <w:sz w:val="24"/>
                <w:highlight w:val="none"/>
                <w:shd w:val="clear" w:color="auto" w:fill="auto"/>
                <w:lang w:val="en-US" w:eastAsia="zh-CN"/>
              </w:rPr>
              <w:t xml:space="preserve">01</w:t>
            </w:r>
            <w:r>
              <w:rPr>
                <w:rFonts w:hint="eastAsia" w:ascii="宋体" w:hAnsi="宋体" w:cs="宋体"/>
                <w:b/>
                <w:bCs/>
                <w:color w:val="auto"/>
                <w:sz w:val="24"/>
                <w:highlight w:val="none"/>
                <w:shd w:val="clear" w:color="auto" w:fill="auto"/>
              </w:rPr>
              <w:t xml:space="preserve">月</w:t>
            </w:r>
            <w:r>
              <w:rPr>
                <w:rFonts w:hint="eastAsia" w:ascii="宋体" w:hAnsi="宋体" w:cs="宋体"/>
                <w:b/>
                <w:bCs/>
                <w:color w:val="auto"/>
                <w:sz w:val="24"/>
                <w:highlight w:val="none"/>
                <w:shd w:val="clear" w:color="auto" w:fill="auto"/>
                <w:lang w:val="en-US" w:eastAsia="zh-CN"/>
              </w:rPr>
              <w:t xml:space="preserve">2</w:t>
            </w:r>
            <w:r>
              <w:rPr>
                <w:rFonts w:hint="eastAsia" w:ascii="宋体" w:hAnsi="宋体" w:cs="宋体"/>
                <w:b/>
                <w:bCs/>
                <w:color w:val="auto"/>
                <w:sz w:val="24"/>
                <w:highlight w:val="none"/>
                <w:shd w:val="clear" w:color="auto" w:fill="auto"/>
              </w:rPr>
              <w:t xml:space="preserve">0日北京时间</w:t>
            </w:r>
            <w:r>
              <w:rPr>
                <w:rFonts w:hint="eastAsia" w:ascii="宋体" w:hAnsi="宋体" w:cs="宋体"/>
                <w:b/>
                <w:bCs/>
                <w:color w:val="auto"/>
                <w:sz w:val="24"/>
                <w:highlight w:val="none"/>
                <w:shd w:val="clear" w:color="auto" w:fill="auto"/>
                <w:lang w:eastAsia="zh-CN"/>
              </w:rPr>
              <w:t xml:space="preserve">9：10</w:t>
            </w:r>
            <w:r>
              <w:rPr>
                <w:rFonts w:hint="eastAsia" w:ascii="宋体" w:hAnsi="宋体" w:cs="宋体"/>
                <w:b/>
                <w:bCs/>
                <w:color w:val="auto"/>
                <w:sz w:val="24"/>
                <w:highlight w:val="none"/>
                <w:shd w:val="clear" w:color="auto" w:fill="auto"/>
              </w:rPr>
              <w:t xml:space="preserve">前</w:t>
            </w:r>
            <w:r>
              <w:rPr>
                <w:rFonts w:hint="eastAsia" w:ascii="宋体" w:hAnsi="宋体" w:cs="宋体"/>
                <w:color w:val="auto"/>
                <w:sz w:val="24"/>
                <w:highlight w:val="none"/>
                <w:shd w:val="clear" w:color="auto" w:fill="auto"/>
              </w:rPr>
              <w:t xml:space="preserve">。</w:t>
            </w:r>
            <w:r/>
          </w:p>
          <w:p>
            <w:pPr>
              <w:pStyle w:val="89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、提交投标截止时间：</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01</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0日北京时间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9：10。</w:t>
            </w:r>
            <w:r/>
          </w:p>
          <w:p>
            <w:pPr>
              <w:pStyle w:val="89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、投标文件提交与接收地点：投标人应当通过“苏采云”系统提交数据电文形式的投标文件（即电子投标），“苏采云”系统自动接收。</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投标人应当在投标截止时间前完成投标文件的传输提交，并可以补充、修改或者撤回投标文件。</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补充、修改投标文件的，须先撤回投标文件，重新编制（即补充、修改）投标文件，在投标截止时间前完成投标文件的传输提交。</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投标截止时间前未完成投标文件传输的，视为撤回投标文件。投标截止时间后送达的投标文件，“苏采云”系统应当拒收。</w:t>
            </w:r>
            <w:r/>
          </w:p>
          <w:p>
            <w:pPr>
              <w:keepLines w:val="0"/>
              <w:keepNext w:val="0"/>
              <w:pageBreakBefore w:val="0"/>
              <w:spacing w:line="288"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二十五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01月20日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北京时间</w:t>
            </w:r>
            <w:r>
              <w:rPr>
                <w:rFonts w:hint="eastAsia" w:ascii="宋体" w:hAnsi="宋体" w:cs="宋体"/>
                <w:b/>
                <w:bCs/>
                <w:color w:val="000000" w:themeColor="text1"/>
                <w:sz w:val="24"/>
                <w:highlight w:val="none"/>
                <w:lang w:eastAsia="zh-CN"/>
                <w14:textFill>
                  <w14:solidFill>
                    <w14:schemeClr w14:val="tx1"/>
                  </w14:solidFill>
                </w14:textFill>
              </w:rPr>
              <w:t xml:space="preserve">9：10</w:t>
            </w:r>
            <w:r/>
          </w:p>
          <w:p>
            <w:pPr>
              <w:jc w:val="left"/>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ind w:firstLine="482"/>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开标时间后30分钟内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keepLines w:val="0"/>
              <w:keepNext w:val="0"/>
              <w:pageBreakBefore w:val="0"/>
              <w:spacing w:line="312" w:lineRule="auto"/>
              <w:widowControl/>
              <w:rPr>
                <w:rFonts w:hint="eastAsia" w:ascii="宋体" w:hAnsi="宋体" w:eastAsia="宋体" w:cs="宋体"/>
                <w:color w:val="000000" w:themeColor="text1"/>
                <w:sz w:val="21"/>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eastAsia="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五、评标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jc w:val="left"/>
              <w:keepLines w:val="0"/>
              <w:keepNext w:val="0"/>
              <w:pageBreakBefore w:val="0"/>
              <w:spacing w:line="312" w:lineRule="auto"/>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685"/>
              <w:ind w:left="0" w:firstLine="0"/>
              <w:jc w:val="both"/>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、推荐中标候选供应商名单。中标候选供应商数量应当根据采购需要确定，但必须按顺序排列中标候选供应商。</w:t>
            </w:r>
            <w:r/>
          </w:p>
          <w:p>
            <w:pPr>
              <w:keepLines w:val="0"/>
              <w:keepNext w:val="0"/>
              <w:pageBreakBefore w:val="0"/>
              <w:spacing w:line="288"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highlight w:val="none"/>
                <w14:textFill>
                  <w14:solidFill>
                    <w14:schemeClr w14:val="tx1"/>
                  </w14:solidFill>
                </w14:textFill>
              </w:rPr>
              <w:t xml:space="preserve">商务部分得分由高到低顺序排列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23"/>
              <w:ind w:left="0" w:firstLine="0"/>
              <w:jc w:val="both"/>
              <w:keepLines w:val="0"/>
              <w:keepNext w:val="0"/>
              <w:pageBreakBefore w:val="0"/>
              <w:spacing w:after="0" w:line="288"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pStyle w:val="68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在评标期间，请投标人保持在线。</w:t>
            </w:r>
            <w:r/>
          </w:p>
          <w:p>
            <w:pPr>
              <w:pStyle w:val="68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68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8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pStyle w:val="685"/>
              <w:ind w:lef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pStyle w:val="685"/>
              <w:ind w:left="0" w:firstLine="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685"/>
              <w:ind w:left="0" w:firstLine="0"/>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履约保证金：无。</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pStyle w:val="685"/>
              <w:ind w:left="0" w:firstLine="0"/>
              <w:jc w:val="both"/>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keepLines w:val="0"/>
              <w:keepNext w:val="0"/>
              <w:pageBreakBefore w:val="0"/>
              <w:spacing w:line="312"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王霄霄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13685119726</w:t>
            </w:r>
            <w:r/>
          </w:p>
          <w:p>
            <w:pPr>
              <w:pStyle w:val="685"/>
              <w:ind w:left="0" w:firstLine="0"/>
              <w:jc w:val="both"/>
              <w:keepLines w:val="0"/>
              <w:keepNext w:val="0"/>
              <w:pageBreakBefore w:val="0"/>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睢宁县睢城街道润景商务广场1#楼3楼。</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ind w:firstLine="482"/>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份，加盖公章）及电子版标书（使用光盘或U盘存储）送达至</w:t>
            </w:r>
            <w:r>
              <w:rPr>
                <w:rFonts w:hint="eastAsia" w:ascii="宋体" w:hAnsi="宋体" w:cs="宋体"/>
                <w:b/>
                <w:bCs/>
                <w:color w:val="000000" w:themeColor="text1"/>
                <w:sz w:val="24"/>
                <w:highlight w:val="none"/>
                <w:lang w:eastAsia="zh-CN"/>
                <w14:textFill>
                  <w14:solidFill>
                    <w14:schemeClr w14:val="tx1"/>
                  </w14:solidFill>
                </w14:textFill>
              </w:rPr>
              <w:t xml:space="preserve">江苏瑞利项目管理有限公司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存档。后期招标人如有需要中标人仍需免费提供。</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685"/>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72"/>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68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说明：</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2.代理服务费按差额定率累进法计算。</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费率（%）</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.有分包（分标段）的按一个项目计算。</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以上价格为协会指导价，双方可根据项目难易程度和优质优价原则协商确定。</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numPr>
          <w:ilvl w:val="0"/>
          <w:numId w:val="3"/>
        </w:num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评标标准</w:t>
      </w:r>
      <w:r/>
    </w:p>
    <w:tbl>
      <w:tblPr>
        <w:tblStyle w:val="672"/>
        <w:tblW w:w="516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58"/>
        <w:gridCol w:w="1418"/>
        <w:gridCol w:w="7718"/>
      </w:tblGrid>
      <w:tr>
        <w:trPr>
          <w:jc w:val="center"/>
        </w:trPr>
        <w:tc>
          <w:tcPr>
            <w:gridSpan w:val="2"/>
            <w:tcW w:w="2576" w:type="dxa"/>
            <w:vAlign w:val="center"/>
            <w:textDirection w:val="lrTb"/>
            <w:noWrap/>
          </w:tcPr>
          <w:p>
            <w:pPr>
              <w:pStyle w:val="683"/>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评审因素</w:t>
            </w:r>
            <w:r/>
          </w:p>
        </w:tc>
        <w:tc>
          <w:tcPr>
            <w:tcW w:w="7718" w:type="dxa"/>
            <w:vAlign w:val="center"/>
            <w:textDirection w:val="lrTb"/>
            <w:noWrap/>
          </w:tcPr>
          <w:p>
            <w:pPr>
              <w:pStyle w:val="683"/>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评审因素细化和量化</w:t>
            </w:r>
            <w:r/>
          </w:p>
        </w:tc>
      </w:tr>
      <w:tr>
        <w:trPr>
          <w:jc w:val="center"/>
          <w:trHeight w:val="90"/>
        </w:trPr>
        <w:tc>
          <w:tcPr>
            <w:tcW w:w="1158" w:type="dxa"/>
            <w:vAlign w:val="center"/>
            <w:textDirection w:val="lrTb"/>
            <w:noWrap/>
          </w:tcPr>
          <w:p>
            <w:pPr>
              <w:pStyle w:val="683"/>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价格部分（3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分）</w:t>
            </w:r>
            <w:r/>
          </w:p>
        </w:tc>
        <w:tc>
          <w:tcPr>
            <w:tcW w:w="1418" w:type="dxa"/>
            <w:vAlign w:val="center"/>
            <w:textDirection w:val="lrTb"/>
            <w:noWrap/>
          </w:tcPr>
          <w:p>
            <w:pPr>
              <w:pStyle w:val="683"/>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pStyle w:val="683"/>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30分）</w:t>
            </w:r>
            <w:r/>
          </w:p>
        </w:tc>
        <w:tc>
          <w:tcPr>
            <w:tcW w:w="77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各投标人价格得分=最低报价（投标人的最低评审价格）÷各投标人评审价格×30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cantSplit/>
          <w:jc w:val="center"/>
          <w:trHeight w:val="2084"/>
        </w:trPr>
        <w:tc>
          <w:tcPr>
            <w:tcW w:w="1158" w:type="dxa"/>
            <w:vAlign w:val="center"/>
            <w:vMerge w:val="restart"/>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分）</w:t>
            </w:r>
            <w:r/>
          </w:p>
        </w:tc>
        <w:tc>
          <w:tcPr>
            <w:shd w:val="clear" w:color="auto" w:fill="auto"/>
            <w:tcW w:w="14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综合评价</w:t>
            </w:r>
            <w:r/>
          </w:p>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shd w:val="clear" w:color="auto" w:fill="auto"/>
            <w:tcBorders>
              <w:bottom w:val="single" w:color="000000" w:sz="4" w:space="0"/>
            </w:tcBorders>
            <w:tcW w:w="77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投标供应商供货组织方案，包括订货计划、运输计划、配送计划等，方案完善、合理、内容详细得5分；方案较完善、较合理、内容较详细得3分；方案不完善、不太合理、内容不详细得1分，未提供不得分。</w:t>
            </w:r>
            <w:r/>
          </w:p>
        </w:tc>
      </w:tr>
      <w:tr>
        <w:trPr>
          <w:cantSplit/>
          <w:jc w:val="center"/>
          <w:trHeight w:val="2084"/>
        </w:trPr>
        <w:tc>
          <w:tcPr>
            <w:tcW w:w="1158" w:type="dxa"/>
            <w:vAlign w:val="center"/>
            <w:vMerge w:val="continue"/>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tcW w:w="14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售后服务（12）</w:t>
            </w:r>
            <w:r/>
          </w:p>
        </w:tc>
        <w:tc>
          <w:tcPr>
            <w:shd w:val="clear" w:color="auto"/>
            <w:tcBorders>
              <w:bottom w:val="single" w:color="000000" w:sz="4" w:space="0"/>
            </w:tcBorders>
            <w:tcW w:w="77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针对投标人的售后服务方案进行评分，方案内容不限于①服务承诺及条款②服务响应方案③备件（易耗品）供应方案④服务人员配备⑤应急措施⑥质保外服务措施等方案完整、合理可行的得</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分；方案较完整、较合理可行的得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分；方案针对性不强、不够完整的得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分，方案不完整不可行或未提供的得0分。</w:t>
            </w:r>
            <w:r/>
          </w:p>
        </w:tc>
      </w:tr>
      <w:tr>
        <w:trPr>
          <w:cantSplit/>
          <w:jc w:val="center"/>
          <w:trHeight w:val="1358"/>
        </w:trPr>
        <w:tc>
          <w:tcPr>
            <w:tcW w:w="1158" w:type="dxa"/>
            <w:vAlign w:val="center"/>
            <w:vMerge w:val="restart"/>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商务部分（</w:t>
            </w:r>
            <w:r>
              <w:rPr>
                <w:rFonts w:hint="eastAsia" w:ascii="宋体" w:hAnsi="宋体" w:cs="宋体"/>
                <w:color w:val="auto"/>
                <w:sz w:val="21"/>
                <w:szCs w:val="21"/>
                <w:lang w:val="en-US" w:eastAsia="zh-CN"/>
              </w:rPr>
              <w:t xml:space="preserve">53</w:t>
            </w:r>
            <w:r>
              <w:rPr>
                <w:rFonts w:hint="eastAsia" w:ascii="宋体" w:hAnsi="宋体" w:eastAsia="宋体" w:cs="宋体"/>
                <w:color w:val="auto"/>
                <w:sz w:val="21"/>
                <w:szCs w:val="21"/>
              </w:rPr>
              <w:t xml:space="preserve">分）</w:t>
            </w:r>
            <w:r/>
          </w:p>
        </w:tc>
        <w:tc>
          <w:tcPr>
            <w:tcW w:w="14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管理体系认证（</w:t>
            </w:r>
            <w:r>
              <w:rPr>
                <w:rFonts w:hint="eastAsia" w:ascii="宋体" w:hAnsi="宋体" w:eastAsia="宋体" w:cs="宋体"/>
                <w:color w:val="auto"/>
                <w:sz w:val="21"/>
                <w:szCs w:val="21"/>
                <w:lang w:val="en-US"/>
              </w:rPr>
              <w:t xml:space="preserve">3</w:t>
            </w:r>
            <w:r>
              <w:rPr>
                <w:rFonts w:hint="eastAsia" w:ascii="宋体" w:hAnsi="宋体" w:eastAsia="宋体" w:cs="宋体"/>
                <w:color w:val="auto"/>
                <w:sz w:val="21"/>
                <w:szCs w:val="21"/>
              </w:rPr>
              <w:t xml:space="preserve">分）</w:t>
            </w:r>
            <w:r/>
          </w:p>
        </w:tc>
        <w:tc>
          <w:tcPr>
            <w:tcBorders>
              <w:bottom w:val="single" w:color="000000" w:sz="4" w:space="0"/>
            </w:tcBorders>
            <w:tcW w:w="7718" w:type="dxa"/>
            <w:vAlign w:val="center"/>
            <w:textDirection w:val="lrTb"/>
            <w:noWrap/>
          </w:tcPr>
          <w:p>
            <w:pPr>
              <w:pStyle w:val="917"/>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投标供应商有效的质量管理体系（ISO9001或GB/T19001）、环境管理体系（ISO14001或GB/T24001）、职业健康安全管理体系（OHSAS18001或ISO45001或GB/T28001）认证证书彩色扫描件，每有一项得</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rPr>
              <w:t xml:space="preserve">分，最高</w:t>
            </w:r>
            <w:r>
              <w:rPr>
                <w:rFonts w:hint="eastAsia" w:ascii="宋体" w:hAnsi="宋体" w:eastAsia="宋体" w:cs="宋体"/>
                <w:color w:val="auto"/>
                <w:sz w:val="21"/>
                <w:szCs w:val="21"/>
                <w:lang w:val="en-US"/>
              </w:rPr>
              <w:t xml:space="preserve">3</w:t>
            </w:r>
            <w:r>
              <w:rPr>
                <w:rFonts w:hint="eastAsia" w:ascii="宋体" w:hAnsi="宋体" w:eastAsia="宋体" w:cs="宋体"/>
                <w:color w:val="auto"/>
                <w:sz w:val="21"/>
                <w:szCs w:val="21"/>
              </w:rPr>
              <w:t xml:space="preserve">分。</w:t>
            </w:r>
            <w:r/>
          </w:p>
        </w:tc>
      </w:tr>
      <w:tr>
        <w:trPr>
          <w:cantSplit/>
          <w:jc w:val="center"/>
          <w:trHeight w:val="1358"/>
        </w:trPr>
        <w:tc>
          <w:tcPr>
            <w:tcW w:w="1158" w:type="dxa"/>
            <w:vAlign w:val="center"/>
            <w:vMerge w:val="continue"/>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tcW w:w="14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w:t>
            </w:r>
            <w:r/>
          </w:p>
          <w:p>
            <w:pPr>
              <w:pStyle w:val="683"/>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分）</w:t>
            </w:r>
            <w:r/>
          </w:p>
        </w:tc>
        <w:tc>
          <w:tcPr>
            <w:shd w:val="clear" w:color="auto"/>
            <w:tcBorders>
              <w:bottom w:val="single" w:color="000000" w:sz="4" w:space="0"/>
            </w:tcBorders>
            <w:tcW w:w="77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供应商完全响应招标文件技术参数、功能、质量等要求的得30分。招标文件技术参数中加“★”标志的为重要响应指标，每有一项不满足的扣3分；其他技术指标，每有一项不满足的扣2分；本项最低得0分。高于参数要求的每一项加1分；最高加5分。</w:t>
            </w:r>
            <w:r/>
          </w:p>
        </w:tc>
      </w:tr>
      <w:tr>
        <w:trPr>
          <w:cantSplit/>
          <w:jc w:val="center"/>
          <w:trHeight w:val="1358"/>
        </w:trPr>
        <w:tc>
          <w:tcPr>
            <w:tcW w:w="1158" w:type="dxa"/>
            <w:vAlign w:val="center"/>
            <w:vMerge w:val="continue"/>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投标人业绩</w:t>
            </w:r>
            <w:r/>
          </w:p>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rPr>
              <w:t xml:space="preserve">2</w:t>
            </w:r>
            <w:r>
              <w:rPr>
                <w:rFonts w:hint="eastAsia" w:ascii="宋体" w:hAnsi="宋体" w:eastAsia="宋体" w:cs="宋体"/>
                <w:color w:val="auto"/>
                <w:sz w:val="21"/>
                <w:szCs w:val="21"/>
              </w:rPr>
              <w:t xml:space="preserve">分）</w:t>
            </w:r>
            <w:r/>
          </w:p>
        </w:tc>
        <w:tc>
          <w:tcPr>
            <w:tcBorders>
              <w:bottom w:val="single" w:color="000000" w:sz="4" w:space="0"/>
            </w:tcBorders>
            <w:tcW w:w="7718" w:type="dxa"/>
            <w:vAlign w:val="center"/>
            <w:textDirection w:val="lrTb"/>
            <w:noWrap/>
          </w:tcPr>
          <w:p>
            <w:pPr>
              <w:pStyle w:val="917"/>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投标供应商投标时，需提供近202</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月1日至今消防车辆采购项目业绩的，每提供一份得1分，最高得</w:t>
            </w:r>
            <w:r>
              <w:rPr>
                <w:rFonts w:hint="eastAsia" w:ascii="宋体" w:hAnsi="宋体" w:eastAsia="宋体" w:cs="宋体"/>
                <w:color w:val="auto"/>
                <w:sz w:val="21"/>
                <w:szCs w:val="21"/>
                <w:lang w:val="en-US"/>
              </w:rPr>
              <w:t xml:space="preserve">2</w:t>
            </w:r>
            <w:r>
              <w:rPr>
                <w:rFonts w:hint="eastAsia" w:ascii="宋体" w:hAnsi="宋体" w:eastAsia="宋体" w:cs="宋体"/>
                <w:color w:val="auto"/>
                <w:sz w:val="21"/>
                <w:szCs w:val="21"/>
              </w:rPr>
              <w:t xml:space="preserve">分。注：业绩证明材料须提供合同原件和中标通知书原件扫描件，未提供不得分。</w:t>
            </w:r>
            <w:r/>
          </w:p>
        </w:tc>
      </w:tr>
      <w:tr>
        <w:trPr>
          <w:cantSplit/>
          <w:jc w:val="center"/>
          <w:trHeight w:val="1358"/>
        </w:trPr>
        <w:tc>
          <w:tcPr>
            <w:tcW w:w="1158" w:type="dxa"/>
            <w:vAlign w:val="center"/>
            <w:vMerge w:val="continue"/>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认证证书</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5分</w:t>
            </w:r>
            <w:r>
              <w:rPr>
                <w:rFonts w:hint="eastAsia" w:ascii="宋体" w:hAnsi="宋体" w:eastAsia="宋体" w:cs="宋体"/>
                <w:color w:val="auto"/>
                <w:sz w:val="21"/>
                <w:szCs w:val="21"/>
                <w:lang w:eastAsia="zh-CN"/>
              </w:rPr>
              <w:t xml:space="preserve">）</w:t>
            </w:r>
            <w:r/>
          </w:p>
        </w:tc>
        <w:tc>
          <w:tcPr>
            <w:tcBorders>
              <w:bottom w:val="single" w:color="000000" w:sz="4" w:space="0"/>
            </w:tcBorders>
            <w:tcW w:w="7718" w:type="dxa"/>
            <w:vAlign w:val="center"/>
            <w:textDirection w:val="lrTb"/>
            <w:noWrap/>
          </w:tcPr>
          <w:p>
            <w:pPr>
              <w:pStyle w:val="917"/>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能够提供所投车辆消防产品认证证书（提供国家级评定中心颁布的该车辆型号的消防产品认证证书复印件，及中国消防产品信息网查询页打印件）的得 </w:t>
            </w:r>
            <w:r>
              <w:rPr>
                <w:rFonts w:hint="eastAsia" w:ascii="宋体" w:hAnsi="宋体" w:eastAsia="宋体" w:cs="宋体"/>
                <w:color w:val="auto"/>
                <w:sz w:val="21"/>
                <w:szCs w:val="21"/>
                <w:lang w:val="en-US"/>
              </w:rPr>
              <w:t xml:space="preserve">5</w:t>
            </w:r>
            <w:r>
              <w:rPr>
                <w:rFonts w:hint="eastAsia" w:ascii="宋体" w:hAnsi="宋体" w:eastAsia="宋体" w:cs="宋体"/>
                <w:color w:val="auto"/>
                <w:sz w:val="21"/>
                <w:szCs w:val="21"/>
              </w:rPr>
              <w:t xml:space="preserve"> 分，否则不得分。</w:t>
            </w:r>
            <w:r/>
          </w:p>
        </w:tc>
      </w:tr>
      <w:tr>
        <w:trPr>
          <w:cantSplit/>
          <w:jc w:val="center"/>
          <w:trHeight w:val="1249"/>
        </w:trPr>
        <w:tc>
          <w:tcPr>
            <w:tcW w:w="1158" w:type="dxa"/>
            <w:vAlign w:val="center"/>
            <w:vMerge w:val="continue"/>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vMerge w:val="restart"/>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免费质保期及售后时效</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W w:w="77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1年免费质保期得2分，每增1年免费质保加1分，</w:t>
            </w:r>
            <w:r>
              <w:rPr>
                <w:rFonts w:hint="eastAsia" w:ascii="宋体" w:hAnsi="宋体" w:cs="宋体"/>
                <w:color w:val="auto"/>
                <w:sz w:val="21"/>
                <w:szCs w:val="21"/>
                <w:lang w:eastAsia="zh-CN"/>
              </w:rPr>
              <w:t xml:space="preserve">本项目得分</w:t>
            </w:r>
            <w:r>
              <w:rPr>
                <w:rFonts w:hint="eastAsia" w:ascii="宋体" w:hAnsi="宋体" w:eastAsia="宋体" w:cs="宋体"/>
                <w:color w:val="auto"/>
                <w:sz w:val="21"/>
                <w:szCs w:val="21"/>
              </w:rPr>
              <w:t xml:space="preserve">最高不超过</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分（评审依据：投标人提供售后服务承诺函）</w:t>
            </w:r>
            <w:r/>
          </w:p>
        </w:tc>
      </w:tr>
      <w:tr>
        <w:trPr>
          <w:cantSplit/>
          <w:jc w:val="center"/>
          <w:trHeight w:val="2808"/>
        </w:trPr>
        <w:tc>
          <w:tcPr>
            <w:tcW w:w="1158" w:type="dxa"/>
            <w:vAlign w:val="center"/>
            <w:vMerge w:val="continue"/>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vMerge w:val="continue"/>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bottom w:val="single" w:color="000000" w:sz="4" w:space="0"/>
            </w:tcBorders>
            <w:tcW w:w="7718" w:type="dxa"/>
            <w:vAlign w:val="center"/>
            <w:textDirection w:val="lrTb"/>
            <w:noWrap/>
          </w:tcPr>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供应商售后服务</w:t>
            </w:r>
            <w:r>
              <w:rPr>
                <w:rFonts w:hint="eastAsia" w:ascii="宋体" w:hAnsi="宋体" w:cs="宋体"/>
                <w:color w:val="auto"/>
                <w:sz w:val="21"/>
                <w:szCs w:val="21"/>
                <w:lang w:val="en-US" w:eastAsia="zh-CN"/>
              </w:rPr>
              <w:t xml:space="preserve">时效</w:t>
            </w:r>
            <w:r>
              <w:rPr>
                <w:rFonts w:hint="eastAsia" w:ascii="宋体" w:hAnsi="宋体" w:eastAsia="宋体" w:cs="宋体"/>
                <w:color w:val="auto"/>
                <w:sz w:val="21"/>
                <w:szCs w:val="21"/>
              </w:rPr>
              <w:t xml:space="preserve">承诺</w:t>
            </w:r>
            <w:r/>
          </w:p>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rFonts w:hint="eastAsia" w:ascii="宋体" w:hAnsi="宋体" w:cs="宋体"/>
                <w:color w:val="auto"/>
                <w:sz w:val="21"/>
                <w:szCs w:val="21"/>
                <w:lang w:val="en-US" w:eastAsia="zh-CN"/>
              </w:rPr>
              <w:t xml:space="preserve">分钟</w:t>
            </w:r>
            <w:r>
              <w:rPr>
                <w:rFonts w:hint="eastAsia" w:ascii="宋体" w:hAnsi="宋体" w:eastAsia="宋体" w:cs="宋体"/>
                <w:color w:val="auto"/>
                <w:sz w:val="21"/>
                <w:szCs w:val="21"/>
              </w:rPr>
              <w:t xml:space="preserve">响应， 2小时到达现场，4小时解决问题，得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rPr>
                <w:rFonts w:hint="eastAsia" w:ascii="宋体" w:hAnsi="宋体" w:cs="宋体"/>
                <w:color w:val="auto"/>
                <w:sz w:val="21"/>
                <w:szCs w:val="21"/>
                <w:lang w:val="en-US" w:eastAsia="zh-CN"/>
              </w:rPr>
              <w:t xml:space="preserve">分钟</w:t>
            </w:r>
            <w:r>
              <w:rPr>
                <w:rFonts w:hint="eastAsia" w:ascii="宋体" w:hAnsi="宋体" w:eastAsia="宋体" w:cs="宋体"/>
                <w:color w:val="auto"/>
                <w:sz w:val="21"/>
                <w:szCs w:val="21"/>
              </w:rPr>
              <w:t xml:space="preserve">响应，4小时到达现场，8小时解决问题，得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1小时响应，8小时到达现场，24小时解决问题，得1分；</w:t>
            </w:r>
            <w:r/>
          </w:p>
          <w:p>
            <w:pPr>
              <w:pStyle w:val="68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其余不得分。评分时以响应、到达、解决问题时间三者中最长的时间评分。提供能够实现售后承诺的证明材料并加盖公章。</w:t>
            </w:r>
            <w:r/>
          </w:p>
        </w:tc>
      </w:tr>
    </w:tbl>
    <w:p>
      <w:pPr>
        <w:jc w:val="left"/>
        <w:spacing w:line="4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p>
      <w:pPr>
        <w:pStyle w:val="683"/>
        <w:ind w:left="0" w:firstLine="0"/>
        <w:keepLines w:val="0"/>
        <w:keepNext w:val="0"/>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auto"/>
          <w:sz w:val="21"/>
          <w:szCs w:val="21"/>
        </w:rPr>
        <w:t xml:space="preserve">注：评分结果精确到小数点后两位。</w:t>
      </w: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jc w:val="center"/>
        <w:spacing w:line="360" w:lineRule="auto"/>
        <w:rPr>
          <w:rFonts w:hint="default" w:ascii="宋体" w:hAnsi="宋体" w:eastAsia="宋体" w:cs="宋体"/>
          <w:b/>
          <w:color w:val="000000" w:themeColor="text1"/>
          <w:sz w:val="52"/>
          <w:szCs w:val="52"/>
          <w:highlight w:val="none"/>
          <w:lang w:val="en-US" w:eastAsia="zh-CN"/>
          <w14:textFill>
            <w14:solidFill>
              <w14:schemeClr w14:val="tx1"/>
            </w14:solidFill>
          </w14:textFill>
        </w:rPr>
      </w:pP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政 府 采 购 合 同</w:t>
      </w:r>
      <w:r/>
    </w:p>
    <w:p>
      <w:pPr>
        <w:ind w:firstLine="482"/>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pStyle w:val="9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2"/>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82"/>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682"/>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685"/>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685"/>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685"/>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14:textFill>
            <w14:solidFill>
              <w14:schemeClr w14:val="tx1"/>
            </w14:solidFill>
          </w14:textFill>
        </w:rPr>
        <w:t xml:space="preserve">日内，按照采购文件确定的事项签订政府采购合同。</w:t>
      </w:r>
      <w:r/>
    </w:p>
    <w:p>
      <w:pPr>
        <w:pStyle w:val="685"/>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1.15“采购需求”见合同附件6。</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合同价款的百分之</w:t>
      </w:r>
      <w:r>
        <w:rPr>
          <w:rFonts w:hint="eastAsia" w:ascii="宋体" w:hAnsi="宋体" w:cs="宋体"/>
          <w:color w:val="000000" w:themeColor="text1"/>
          <w:sz w:val="24"/>
          <w:highlight w:val="none"/>
          <w:lang w:eastAsia="zh-CN"/>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0%)，即￥（    ），大写：人民币（   ）元整，在双方签订合同后，合同标的</w:t>
      </w:r>
      <w:r>
        <w:rPr>
          <w:rFonts w:hint="eastAsia" w:ascii="宋体" w:hAnsi="宋体" w:cs="宋体"/>
          <w:color w:val="000000" w:themeColor="text1"/>
          <w:sz w:val="24"/>
          <w:highlight w:val="none"/>
          <w:lang w:eastAsia="zh-CN"/>
          <w14:textFill>
            <w14:solidFill>
              <w14:schemeClr w14:val="tx1"/>
            </w14:solidFill>
          </w14:textFill>
        </w:rPr>
        <w:t xml:space="preserve">按期</w:t>
      </w:r>
      <w:r>
        <w:rPr>
          <w:rFonts w:hint="eastAsia" w:ascii="宋体" w:hAnsi="宋体" w:eastAsia="宋体" w:cs="宋体"/>
          <w:color w:val="000000" w:themeColor="text1"/>
          <w:sz w:val="24"/>
          <w:highlight w:val="none"/>
          <w14:textFill>
            <w14:solidFill>
              <w14:schemeClr w14:val="tx1"/>
            </w14:solidFill>
          </w14:textFill>
        </w:rPr>
        <w:t xml:space="preserve">全部交付并调试完毕并验收</w:t>
      </w:r>
      <w:r>
        <w:rPr>
          <w:rFonts w:hint="eastAsia" w:ascii="宋体" w:hAnsi="宋体" w:cs="宋体"/>
          <w:color w:val="000000" w:themeColor="text1"/>
          <w:sz w:val="24"/>
          <w:highlight w:val="none"/>
          <w:lang w:eastAsia="zh-CN"/>
          <w14:textFill>
            <w14:solidFill>
              <w14:schemeClr w14:val="tx1"/>
            </w14:solidFill>
          </w14:textFill>
        </w:rPr>
        <w:t xml:space="preserve">合格</w:t>
      </w:r>
      <w:r>
        <w:rPr>
          <w:rFonts w:hint="eastAsia" w:ascii="宋体" w:hAnsi="宋体" w:eastAsia="宋体" w:cs="宋体"/>
          <w:color w:val="000000" w:themeColor="text1"/>
          <w:sz w:val="24"/>
          <w:highlight w:val="none"/>
          <w14:textFill>
            <w14:solidFill>
              <w14:schemeClr w14:val="tx1"/>
            </w14:solidFill>
          </w14:textFill>
        </w:rPr>
        <w:t xml:space="preserve">后，由甲方办理政府采购资金结算手续完成后支付给乙方。</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 剩余</w:t>
      </w:r>
      <w:r>
        <w:rPr>
          <w:rFonts w:hint="eastAsia" w:ascii="宋体" w:hAnsi="宋体" w:cs="宋体"/>
          <w:color w:val="000000" w:themeColor="text1"/>
          <w:sz w:val="24"/>
          <w:highlight w:val="none"/>
          <w:lang w:eastAsia="zh-CN"/>
          <w14:textFill>
            <w14:solidFill>
              <w14:schemeClr w14:val="tx1"/>
            </w14:solidFill>
          </w14:textFill>
        </w:rPr>
        <w:t xml:space="preserve">货</w:t>
      </w:r>
      <w:r>
        <w:rPr>
          <w:rFonts w:hint="eastAsia" w:ascii="宋体" w:hAnsi="宋体" w:eastAsia="宋体" w:cs="宋体"/>
          <w:color w:val="000000" w:themeColor="text1"/>
          <w:sz w:val="24"/>
          <w:highlight w:val="none"/>
          <w14:textFill>
            <w14:solidFill>
              <w14:schemeClr w14:val="tx1"/>
            </w14:solidFill>
          </w14:textFill>
        </w:rPr>
        <w:t xml:space="preserve">款按照比例分</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个季度支付，每一季度支付车款一次</w:t>
      </w:r>
      <w:r>
        <w:rPr>
          <w:rFonts w:hint="eastAsia" w:ascii="宋体" w:hAnsi="宋体" w:cs="宋体"/>
          <w:color w:val="000000" w:themeColor="text1"/>
          <w:sz w:val="24"/>
          <w:highlight w:val="none"/>
          <w:lang w:eastAsia="zh-CN"/>
          <w14:textFill>
            <w14:solidFill>
              <w14:schemeClr w14:val="tx1"/>
            </w14:solidFill>
          </w14:textFill>
        </w:rPr>
        <w:t xml:space="preserve">。由</w:t>
      </w:r>
      <w:r>
        <w:rPr>
          <w:rFonts w:hint="eastAsia" w:ascii="宋体" w:hAnsi="宋体" w:eastAsia="宋体" w:cs="宋体"/>
          <w:color w:val="000000" w:themeColor="text1"/>
          <w:sz w:val="24"/>
          <w:highlight w:val="none"/>
          <w14:textFill>
            <w14:solidFill>
              <w14:schemeClr w14:val="tx1"/>
            </w14:solidFill>
          </w14:textFill>
        </w:rPr>
        <w:t xml:space="preserve">甲方办理政府采购资金结算手续</w:t>
      </w:r>
      <w:r>
        <w:rPr>
          <w:rFonts w:hint="eastAsia" w:ascii="宋体" w:hAnsi="宋体" w:cs="宋体"/>
          <w:color w:val="000000" w:themeColor="text1"/>
          <w:sz w:val="24"/>
          <w:highlight w:val="none"/>
          <w:lang w:eastAsia="zh-CN"/>
          <w14:textFill>
            <w14:solidFill>
              <w14:schemeClr w14:val="tx1"/>
            </w14:solidFill>
          </w14:textFill>
        </w:rPr>
        <w:t xml:space="preserve">完成后</w:t>
      </w:r>
      <w:r>
        <w:rPr>
          <w:rFonts w:hint="eastAsia" w:ascii="宋体" w:hAnsi="宋体" w:eastAsia="宋体" w:cs="宋体"/>
          <w:color w:val="000000" w:themeColor="text1"/>
          <w:sz w:val="24"/>
          <w:highlight w:val="none"/>
          <w14:textFill>
            <w14:solidFill>
              <w14:schemeClr w14:val="tx1"/>
            </w14:solidFill>
          </w14:textFill>
        </w:rPr>
        <w:t xml:space="preserve">支付给乙方。</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买方付款前卖方需提交的支付文件包括：</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卖方出具的全额正式发票。</w:t>
      </w:r>
      <w:r/>
    </w:p>
    <w:p>
      <w:pPr>
        <w:ind w:firstLine="482"/>
        <w:keepLines w:val="0"/>
        <w:keepNext w:val="0"/>
        <w:pageBreakBefore w:val="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买方签署验收合格报告</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 履约保证金退还的方式、时间、条件和不予退还的情形:</w:t>
      </w:r>
      <w:r/>
    </w:p>
    <w:p>
      <w:pPr>
        <w:ind w:firstLine="425"/>
        <w:keepLines w:val="0"/>
        <w:keepNext w:val="0"/>
        <w:pageBreakBefore w:val="0"/>
        <w:spacing w:line="312"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退还方式:由买方将履约保证金无息退还至卖方</w:t>
      </w:r>
      <w:r>
        <w:rPr>
          <w:rFonts w:hint="eastAsia" w:ascii="宋体" w:hAnsi="宋体" w:eastAsia="宋体" w:cs="宋体"/>
          <w:color w:val="000000" w:themeColor="text1"/>
          <w:sz w:val="24"/>
          <w:highlight w:val="none"/>
          <w:lang w:val="zh-CN"/>
          <w14:textFill>
            <w14:solidFill>
              <w14:schemeClr w14:val="tx1"/>
            </w14:solidFill>
          </w14:textFill>
        </w:rPr>
        <w:t xml:space="preserve">账户。</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退还时间:本项目履行完毕后十日内退还。</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退还条件：本项目合同义务全部履行完毕。</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不予退还的情形:</w:t>
      </w:r>
      <w:r>
        <w:rPr>
          <w:rFonts w:hint="eastAsia" w:ascii="宋体" w:hAnsi="宋体" w:eastAsia="宋体" w:cs="宋体"/>
          <w:color w:val="000000" w:themeColor="text1"/>
          <w:sz w:val="24"/>
          <w:highlight w:val="none"/>
          <w:lang w:val="zh-CN"/>
          <w14:textFill>
            <w14:solidFill>
              <w14:schemeClr w14:val="tx1"/>
            </w14:solidFill>
          </w14:textFill>
        </w:rPr>
        <w:t xml:space="preserve">卖方拒绝履行合同义务。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合同约定的卖方账户：</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逾期退还履约保证金的违约责任: 买方逾期退还履约保证金的，每逾期（10）天，买方向卖方支付履约保证金的（0.05）%的违约金，但违约金的总数不超过履约保证金的（5）%。</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u w:val="single"/>
        </w:rPr>
        <w:t xml:space="preserve">日</w:t>
      </w:r>
      <w:r>
        <w:rPr>
          <w:rFonts w:hint="eastAsia" w:ascii="宋体" w:hAnsi="宋体" w:eastAsia="宋体" w:cs="宋体"/>
          <w:color w:val="auto"/>
          <w:sz w:val="24"/>
          <w:highlight w:val="none"/>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交货地点为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u w:val="single"/>
        </w:rPr>
        <w:t xml:space="preserve">日</w:t>
      </w:r>
      <w:r>
        <w:rPr>
          <w:rFonts w:hint="eastAsia" w:ascii="宋体" w:hAnsi="宋体" w:eastAsia="宋体" w:cs="宋体"/>
          <w:color w:val="auto"/>
          <w:sz w:val="24"/>
          <w:highlight w:val="none"/>
        </w:rPr>
        <w:t xml:space="preserve">内将合同标的全部交付并安装完毕</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8.2项目实施详见合同附件7。</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验收标准：</w:t>
      </w:r>
      <w:r/>
    </w:p>
    <w:p>
      <w:pPr>
        <w:pStyle w:val="684"/>
        <w:ind w:firstLine="48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9.3.2</w:t>
      </w:r>
      <w:r>
        <w:rPr>
          <w:rFonts w:hint="eastAsia" w:ascii="宋体" w:hAnsi="宋体" w:eastAsia="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ind w:firstLine="540"/>
        <w:keepLines w:val="0"/>
        <w:keepNext w:val="0"/>
        <w:pageBreakBefore w:val="0"/>
        <w:spacing w:line="312" w:lineRule="auto"/>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w:t>
      </w:r>
      <w:r>
        <w:rPr>
          <w:rFonts w:hint="eastAsia" w:ascii="宋体" w:hAnsi="宋体" w:cs="宋体"/>
          <w:color w:val="000000" w:themeColor="text1"/>
          <w:sz w:val="24"/>
          <w:highlight w:val="none"/>
          <w:lang w:eastAsia="zh-CN"/>
          <w14:textFill>
            <w14:solidFill>
              <w14:schemeClr w14:val="tx1"/>
            </w14:solidFill>
          </w14:textFill>
        </w:rPr>
        <w:t xml:space="preserve">中华人民共和国反不正当竞争法</w:t>
      </w:r>
      <w:r>
        <w:rPr>
          <w:rFonts w:hint="eastAsia" w:ascii="宋体" w:hAnsi="宋体" w:eastAsia="宋体" w:cs="宋体"/>
          <w:color w:val="000000" w:themeColor="text1"/>
          <w:sz w:val="24"/>
          <w:highlight w:val="none"/>
          <w14:textFill>
            <w14:solidFill>
              <w14:schemeClr w14:val="tx1"/>
            </w14:solidFill>
          </w14:textFill>
        </w:rPr>
        <w:t xml:space="preserve">》等法律制度的规定与卖方约定本合同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合同附件7：项目实施方案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合同协议书</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签字地点:____________ </w:t>
      </w:r>
      <w:r/>
    </w:p>
    <w:p>
      <w:pPr>
        <w:ind w:firstLine="41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359"/>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（买方名称）（以下简称“买方”）已接受</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（卖方名称）（以下简称“卖方”）对</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（项目名称）（项目编号：</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 合同协议书</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 中标通知书</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 合同专用条款</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 合同通用条款</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 除合同附件1外的合同附件</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 其他文件</w:t>
      </w:r>
      <w:r/>
    </w:p>
    <w:p>
      <w:pPr>
        <w:ind w:firstLine="54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6.合同一式</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份，卖方</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份。</w:t>
      </w:r>
      <w:r/>
    </w:p>
    <w:p>
      <w:pPr>
        <w:ind w:firstLine="48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]为准。</w:t>
      </w:r>
      <w:r/>
    </w:p>
    <w:p>
      <w:pPr>
        <w:ind w:firstLine="36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买方和卖方由其正式授权代表于上述所写日期和地点签订本合同。</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法定代表人或授权代表(签名)： ____________________ </w:t>
      </w:r>
      <w:r/>
    </w:p>
    <w:p>
      <w:pPr>
        <w:ind w:firstLine="3360"/>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法定代表人或授权代表(签名)： ___________________</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采购需求</w:t>
      </w:r>
      <w:r/>
    </w:p>
    <w:p>
      <w:pPr>
        <w:pStyle w:val="88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一、项目说明</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w:t>
      </w:r>
      <w:r>
        <w:rPr>
          <w:rFonts w:hint="eastAsia" w:ascii="宋体" w:hAnsi="宋体" w:cs="宋体"/>
          <w:color w:val="auto"/>
          <w:sz w:val="24"/>
          <w:szCs w:val="24"/>
          <w:highlight w:val="none"/>
          <w:shd w:val="clear" w:color="auto" w:fill="auto"/>
          <w:lang w:eastAsia="zh-CN"/>
        </w:rPr>
        <w:t xml:space="preserve">睢宁县沙集镇8吨水罐消防车采购</w:t>
      </w:r>
      <w:r>
        <w:rPr>
          <w:rFonts w:hint="eastAsia" w:ascii="宋体" w:hAnsi="宋体" w:cs="宋体"/>
          <w:color w:val="auto"/>
          <w:sz w:val="24"/>
          <w:szCs w:val="24"/>
          <w:highlight w:val="none"/>
          <w:shd w:val="clear" w:color="auto" w:fill="auto"/>
        </w:rPr>
        <w:t xml:space="preserve">。</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2、本项目采购的是非进口产品。</w:t>
      </w:r>
      <w:r/>
    </w:p>
    <w:p>
      <w:pPr>
        <w:ind w:firstLine="48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3、本项目标的所属行业：工业。</w:t>
      </w:r>
      <w:r/>
    </w:p>
    <w:p>
      <w:pPr>
        <w:ind w:firstLine="48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cs="宋体"/>
          <w:color w:val="auto"/>
          <w:sz w:val="24"/>
          <w:szCs w:val="24"/>
          <w:highlight w:val="none"/>
          <w:shd w:val="clear" w:color="auto" w:fill="auto"/>
        </w:rPr>
        <w:t xml:space="preserve">.本项目为非专门面向中小企业的项目。</w:t>
      </w:r>
      <w:r/>
    </w:p>
    <w:p>
      <w:pPr>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二、采购预算 </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lang w:val="en-US" w:eastAsia="zh-CN"/>
        </w:rPr>
        <w:t xml:space="preserve">本项目预算总金额为78</w:t>
      </w:r>
      <w:r>
        <w:rPr>
          <w:rFonts w:hint="eastAsia" w:ascii="宋体" w:hAnsi="宋体" w:cs="宋体"/>
          <w:b/>
          <w:bCs/>
          <w:color w:val="auto"/>
          <w:sz w:val="24"/>
          <w:highlight w:val="none"/>
          <w:shd w:val="clear" w:color="auto" w:fill="auto"/>
        </w:rPr>
        <w:t xml:space="preserve">万元</w:t>
      </w:r>
      <w:r>
        <w:rPr>
          <w:rFonts w:hint="eastAsia" w:ascii="宋体" w:hAnsi="宋体"/>
          <w:color w:val="auto"/>
          <w:sz w:val="24"/>
          <w:highlight w:val="none"/>
          <w:shd w:val="clear" w:color="auto" w:fill="auto"/>
        </w:rPr>
        <w:t xml:space="preserve">。</w:t>
      </w:r>
      <w:r>
        <w:rPr>
          <w:rFonts w:hint="eastAsia" w:ascii="宋体" w:hAnsi="宋体" w:cs="宋体"/>
          <w:color w:val="auto"/>
          <w:sz w:val="24"/>
          <w:highlight w:val="none"/>
          <w:shd w:val="clear" w:color="auto" w:fill="auto"/>
        </w:rPr>
        <w:t xml:space="preserve">投标报价包括产品、运费、安装、调试、检验、验收、维修、保险、培训、售后服务、税金、投标人的利润等全部费用。</w:t>
      </w:r>
      <w:r>
        <w:rPr>
          <w:rFonts w:hint="eastAsia" w:ascii="宋体" w:hAnsi="宋体" w:cs="宋体"/>
          <w:color w:val="auto"/>
          <w:sz w:val="24"/>
          <w:highlight w:val="none"/>
          <w:shd w:val="clear" w:color="auto" w:fill="auto"/>
          <w:lang w:val="zh-CN"/>
        </w:rPr>
        <w:t xml:space="preserve">投标人应充分了解该项目的总体情况、各类市场风险以及影响投标报价的其他要素风险。</w:t>
      </w:r>
      <w:r>
        <w:rPr>
          <w:rFonts w:hint="eastAsia" w:ascii="宋体" w:hAnsi="宋体" w:cs="宋体"/>
          <w:color w:val="auto"/>
          <w:sz w:val="24"/>
          <w:highlight w:val="none"/>
          <w:shd w:val="clear" w:color="auto" w:fill="auto"/>
        </w:rPr>
        <w:t xml:space="preserve">采购人不再支付报价以外的任何费用。</w:t>
      </w:r>
      <w:r/>
    </w:p>
    <w:p>
      <w:pPr>
        <w:ind w:firstLine="482"/>
        <w:jc w:val="both"/>
        <w:keepLines w:val="0"/>
        <w:keepNext w:val="0"/>
        <w:pageBreakBefore w:val="0"/>
        <w:spacing w:line="312" w:lineRule="auto"/>
        <w:widowControl/>
        <w:rPr>
          <w:rFonts w:hint="eastAsia" w:ascii="宋体" w:hAnsi="宋体" w:cs="宋体"/>
          <w:b/>
          <w:bCs w:val="0"/>
          <w:color w:val="000000" w:themeColor="text1"/>
          <w:sz w:val="24"/>
          <w:highlight w:val="none"/>
          <w:lang w:eastAsia="zh-CN"/>
          <w14:textFill>
            <w14:solidFill>
              <w14:schemeClr w14:val="tx1"/>
            </w14:solidFill>
          </w14:textFill>
        </w:rPr>
      </w:pPr>
      <w:r>
        <w:rPr>
          <w:rFonts w:hint="eastAsia" w:ascii="宋体" w:hAnsi="宋体" w:cs="宋体"/>
          <w:b/>
          <w:bCs w:val="0"/>
          <w:color w:val="000000" w:themeColor="text1"/>
          <w:sz w:val="24"/>
          <w:highlight w:val="none"/>
          <w:lang w:eastAsia="zh-CN"/>
          <w14:textFill>
            <w14:solidFill>
              <w14:schemeClr w14:val="tx1"/>
            </w14:solidFill>
          </w14:textFill>
        </w:rPr>
        <w:t xml:space="preserve">本项目</w:t>
      </w:r>
      <w:r>
        <w:rPr>
          <w:rFonts w:hint="eastAsia" w:ascii="宋体" w:hAnsi="宋体" w:cs="宋体"/>
          <w:b/>
          <w:bCs w:val="0"/>
          <w:color w:val="000000" w:themeColor="text1"/>
          <w:sz w:val="24"/>
          <w:highlight w:val="none"/>
          <w:lang w:val="en-US" w:eastAsia="zh-CN"/>
          <w14:textFill>
            <w14:solidFill>
              <w14:schemeClr w14:val="tx1"/>
            </w14:solidFill>
          </w14:textFill>
        </w:rPr>
        <w:t xml:space="preserve">最高限价</w:t>
      </w:r>
      <w:r>
        <w:rPr>
          <w:rFonts w:hint="eastAsia" w:ascii="宋体" w:hAnsi="宋体" w:cs="宋体"/>
          <w:b/>
          <w:bCs w:val="0"/>
          <w:color w:val="000000" w:themeColor="text1"/>
          <w:sz w:val="24"/>
          <w:highlight w:val="none"/>
          <w:lang w:eastAsia="zh-CN"/>
          <w14:textFill>
            <w14:solidFill>
              <w14:schemeClr w14:val="tx1"/>
            </w14:solidFill>
          </w14:textFill>
        </w:rPr>
        <w:t xml:space="preserve">:</w:t>
      </w:r>
      <w:r>
        <w:rPr>
          <w:rFonts w:hint="eastAsia" w:ascii="宋体" w:hAnsi="宋体" w:cs="宋体"/>
          <w:b/>
          <w:bCs w:val="0"/>
          <w:color w:val="000000" w:themeColor="text1"/>
          <w:sz w:val="24"/>
          <w:highlight w:val="none"/>
          <w:lang w:val="en-US" w:eastAsia="zh-CN"/>
          <w14:textFill>
            <w14:solidFill>
              <w14:schemeClr w14:val="tx1"/>
            </w14:solidFill>
          </w14:textFill>
        </w:rPr>
        <w:t xml:space="preserve">78</w:t>
      </w:r>
      <w:r>
        <w:rPr>
          <w:rFonts w:hint="eastAsia" w:ascii="宋体" w:hAnsi="宋体" w:cs="宋体"/>
          <w:b/>
          <w:bCs w:val="0"/>
          <w:color w:val="000000" w:themeColor="text1"/>
          <w:sz w:val="24"/>
          <w:highlight w:val="none"/>
          <w:lang w:eastAsia="zh-CN"/>
          <w14:textFill>
            <w14:solidFill>
              <w14:schemeClr w14:val="tx1"/>
            </w14:solidFill>
          </w14:textFill>
        </w:rPr>
        <w:t xml:space="preserve">万元。</w:t>
      </w:r>
      <w:r/>
    </w:p>
    <w:p>
      <w:pPr>
        <w:spacing w:line="360" w:lineRule="auto"/>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 xml:space="preserve">三、项目概况</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4"/>
          <w:highlight w:val="none"/>
          <w:shd w:val="clear" w:color="auto" w:fill="auto"/>
        </w:rPr>
        <w:t xml:space="preserve">1、项目名称：</w:t>
      </w:r>
      <w:r>
        <w:rPr>
          <w:rFonts w:hint="eastAsia" w:ascii="宋体" w:hAnsi="宋体" w:cs="宋体"/>
          <w:color w:val="auto"/>
          <w:sz w:val="24"/>
          <w:szCs w:val="24"/>
          <w:highlight w:val="none"/>
          <w:shd w:val="clear" w:color="auto" w:fill="auto"/>
          <w:lang w:eastAsia="zh-CN"/>
        </w:rPr>
        <w:t xml:space="preserve">睢宁县沙集镇8吨水罐消防车采购</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2、供货</w:t>
      </w:r>
      <w:r>
        <w:rPr>
          <w:rFonts w:hint="eastAsia" w:ascii="宋体" w:hAnsi="宋体" w:cs="宋体"/>
          <w:color w:val="auto"/>
          <w:sz w:val="24"/>
          <w:szCs w:val="24"/>
          <w:highlight w:val="none"/>
          <w:shd w:val="clear" w:color="auto" w:fill="auto"/>
          <w:lang w:val="zh-CN" w:eastAsia="zh-Hans"/>
        </w:rPr>
        <w:t xml:space="preserve">地点：睢宁县沙集镇。</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3、供货期限：自合同签订之日起</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30</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shd w:val="clear" w:color="auto" w:fill="auto"/>
        </w:rPr>
        <w:t xml:space="preserve">日内交货并调试完毕。</w:t>
      </w:r>
      <w:r/>
    </w:p>
    <w:p>
      <w:pPr>
        <w:ind w:firstLine="480"/>
        <w:spacing w:line="360" w:lineRule="auto"/>
        <w:rPr>
          <w:rFonts w:ascii="宋体" w:hAnsi="宋体" w:cs="宋体"/>
          <w:b/>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4、质量标准：符国家“合格”标准。产品质量、性能指标、维修保养及售后服务等必须达到招标文件相关技术要求以及国家现行规范和规定标准。</w:t>
      </w:r>
      <w:r/>
    </w:p>
    <w:p>
      <w:pPr>
        <w:spacing w:line="360" w:lineRule="auto"/>
        <w:rPr>
          <w:rFonts w:hint="eastAsia" w:ascii="宋体" w:hAnsi="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 xml:space="preserve">四、采购清单及技术参数、配置要求</w:t>
      </w:r>
      <w:r/>
    </w:p>
    <w:p>
      <w:pPr>
        <w:spacing w:line="360" w:lineRule="auto"/>
        <w:rPr>
          <w:rFonts w:hint="eastAsia" w:ascii="宋体" w:hAnsi="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8吨水罐消防车，数量：一辆。</w:t>
      </w:r>
      <w:r/>
    </w:p>
    <w:p>
      <w:pPr>
        <w:ind w:left="0" w:right="0" w:firstLine="0"/>
        <w:keepLines w:val="0"/>
        <w:keepNext w:val="0"/>
        <w:pageBreakBefore w:val="0"/>
        <w:spacing w:line="360" w:lineRule="auto"/>
        <w:widowControl w:val="off"/>
        <w:rPr>
          <w:rFonts w:hint="eastAsia" w:ascii="仿宋" w:hAnsi="仿宋" w:eastAsia="仿宋" w:cs="仿宋"/>
          <w:b/>
          <w:bCs w:val="0"/>
          <w:sz w:val="24"/>
          <w:szCs w:val="24"/>
          <w:highlight w:val="none"/>
          <w:lang w:val="en-US" w:eastAsia="zh-CN" w:bidi="ar-SA"/>
        </w:rPr>
      </w:pPr>
      <w:r>
        <w:rPr>
          <w:rFonts w:hint="eastAsia" w:ascii="仿宋" w:hAnsi="仿宋" w:eastAsia="仿宋" w:cs="仿宋"/>
          <w:b/>
          <w:bCs w:val="0"/>
          <w:sz w:val="24"/>
          <w:szCs w:val="24"/>
          <w:highlight w:val="none"/>
          <w:lang w:val="en-US" w:eastAsia="zh-CN" w:bidi="ar-SA"/>
        </w:rPr>
        <w:t xml:space="preserve">1.1总体要求</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1.1.1</w:t>
      </w:r>
      <w:r>
        <w:rPr>
          <w:rFonts w:hint="default" w:ascii="仿宋" w:hAnsi="仿宋" w:eastAsia="仿宋" w:cs="仿宋"/>
          <w:sz w:val="24"/>
          <w:szCs w:val="24"/>
          <w:highlight w:val="none"/>
          <w:lang w:val="en-US"/>
        </w:rPr>
        <w:t xml:space="preserve"> </w:t>
      </w:r>
      <w:r>
        <w:rPr>
          <w:rFonts w:hint="eastAsia" w:ascii="宋体" w:hAnsi="宋体" w:eastAsia="宋体" w:cs="宋体"/>
          <w:color w:val="auto"/>
          <w:sz w:val="21"/>
          <w:szCs w:val="21"/>
          <w:highlight w:val="none"/>
        </w:rPr>
        <w:t xml:space="preserve">★</w:t>
      </w:r>
      <w:r>
        <w:rPr>
          <w:rFonts w:hint="eastAsia" w:ascii="仿宋" w:hAnsi="仿宋" w:eastAsia="仿宋" w:cs="仿宋"/>
          <w:sz w:val="24"/>
          <w:szCs w:val="24"/>
          <w:highlight w:val="none"/>
          <w:lang w:val="en-US" w:eastAsia="zh-CN"/>
        </w:rPr>
        <w:t xml:space="preserve">驾驶室准乘人数</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2+4</w:t>
      </w:r>
      <w:r>
        <w:rPr>
          <w:rFonts w:hint="eastAsia" w:ascii="仿宋" w:hAnsi="仿宋" w:eastAsia="仿宋" w:cs="仿宋"/>
          <w:sz w:val="24"/>
          <w:szCs w:val="24"/>
          <w:highlight w:val="none"/>
          <w:lang w:val="en-US" w:eastAsia="zh-CN"/>
        </w:rPr>
        <w:t xml:space="preserve">人</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w:t>
      </w:r>
      <w:r>
        <w:rPr>
          <w:rFonts w:hint="eastAsia" w:ascii="宋体" w:hAnsi="宋体" w:eastAsia="宋体" w:cs="宋体"/>
          <w:sz w:val="24"/>
          <w:szCs w:val="24"/>
          <w:highlight w:val="none"/>
          <w:lang w:val="en-US" w:eastAsia="zh-CN"/>
        </w:rPr>
        <w:t xml:space="preserve">★</w:t>
      </w:r>
      <w:r>
        <w:rPr>
          <w:rFonts w:hint="eastAsia" w:ascii="仿宋" w:hAnsi="仿宋" w:eastAsia="仿宋" w:cs="仿宋"/>
          <w:sz w:val="24"/>
          <w:szCs w:val="24"/>
          <w:highlight w:val="none"/>
        </w:rPr>
        <w:t xml:space="preserve">国六底盘；</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w:t>
      </w:r>
      <w:r>
        <w:rPr>
          <w:rFonts w:hint="default" w:ascii="仿宋" w:hAnsi="仿宋" w:eastAsia="仿宋" w:cs="仿宋"/>
          <w:sz w:val="24"/>
          <w:szCs w:val="24"/>
          <w:highlight w:val="none"/>
          <w:lang w:val="en-US"/>
        </w:rPr>
        <w:t xml:space="preserve"> </w:t>
      </w:r>
      <w:r>
        <w:rPr>
          <w:rFonts w:hint="eastAsia" w:ascii="仿宋" w:hAnsi="仿宋" w:eastAsia="仿宋" w:cs="仿宋"/>
          <w:sz w:val="24"/>
          <w:szCs w:val="24"/>
          <w:highlight w:val="none"/>
          <w:lang w:val="en-US" w:eastAsia="zh-CN"/>
        </w:rPr>
        <w:t xml:space="preserve">满载质量</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w:t>
      </w:r>
      <w:r>
        <w:rPr>
          <w:rFonts w:hint="default" w:ascii="仿宋" w:hAnsi="仿宋" w:eastAsia="仿宋" w:cs="仿宋"/>
          <w:sz w:val="24"/>
          <w:szCs w:val="24"/>
          <w:highlight w:val="none"/>
          <w:lang w:val="en-US"/>
        </w:rPr>
        <w:t xml:space="preserve">19000kg</w:t>
      </w:r>
      <w:r>
        <w:rPr>
          <w:rFonts w:hint="eastAsia" w:ascii="仿宋" w:hAnsi="仿宋" w:eastAsia="仿宋" w:cs="仿宋"/>
          <w:sz w:val="24"/>
          <w:szCs w:val="24"/>
          <w:highlight w:val="none"/>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w:t>
      </w:r>
      <w:r>
        <w:rPr>
          <w:rFonts w:hint="default" w:ascii="仿宋" w:hAnsi="仿宋" w:eastAsia="仿宋" w:cs="仿宋"/>
          <w:sz w:val="24"/>
          <w:szCs w:val="24"/>
          <w:highlight w:val="none"/>
          <w:lang w:val="en-US"/>
        </w:rPr>
        <w:t xml:space="preserve"> </w:t>
      </w:r>
      <w:r>
        <w:rPr>
          <w:rFonts w:hint="eastAsia" w:ascii="仿宋" w:hAnsi="仿宋" w:eastAsia="仿宋" w:cs="仿宋"/>
          <w:sz w:val="24"/>
          <w:szCs w:val="24"/>
          <w:highlight w:val="none"/>
          <w:lang w:val="en-US" w:eastAsia="zh-CN"/>
        </w:rPr>
        <w:t xml:space="preserve">比功率</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1</w:t>
      </w:r>
      <w:r>
        <w:rPr>
          <w:rFonts w:hint="eastAsia" w:ascii="仿宋" w:hAnsi="仿宋" w:eastAsia="仿宋" w:cs="仿宋"/>
          <w:sz w:val="24"/>
          <w:szCs w:val="24"/>
          <w:highlight w:val="none"/>
          <w:lang w:val="en-US" w:eastAsia="zh-CN"/>
        </w:rPr>
        <w:t xml:space="preserve">2</w:t>
      </w:r>
      <w:r>
        <w:rPr>
          <w:rFonts w:hint="default" w:ascii="仿宋" w:hAnsi="仿宋" w:eastAsia="仿宋" w:cs="仿宋"/>
          <w:sz w:val="24"/>
          <w:szCs w:val="24"/>
          <w:highlight w:val="none"/>
          <w:lang w:val="en-US"/>
        </w:rPr>
        <w:t xml:space="preserve">kW/t</w:t>
      </w:r>
      <w:r>
        <w:rPr>
          <w:rFonts w:hint="eastAsia" w:ascii="仿宋" w:hAnsi="仿宋" w:eastAsia="仿宋" w:cs="仿宋"/>
          <w:sz w:val="24"/>
          <w:szCs w:val="24"/>
          <w:highlight w:val="none"/>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1.1.5</w:t>
      </w:r>
      <w:r>
        <w:rPr>
          <w:rFonts w:hint="default" w:ascii="仿宋" w:hAnsi="仿宋" w:eastAsia="仿宋" w:cs="仿宋"/>
          <w:sz w:val="24"/>
          <w:szCs w:val="24"/>
          <w:highlight w:val="none"/>
          <w:lang w:val="en-US"/>
        </w:rPr>
        <w:t xml:space="preserve"> </w:t>
      </w:r>
      <w:r>
        <w:rPr>
          <w:rFonts w:hint="eastAsia" w:ascii="仿宋" w:hAnsi="仿宋" w:eastAsia="仿宋" w:cs="仿宋"/>
          <w:sz w:val="24"/>
          <w:szCs w:val="24"/>
          <w:highlight w:val="none"/>
          <w:lang w:val="en-US" w:eastAsia="zh-CN"/>
        </w:rPr>
        <w:t xml:space="preserve">最小转弯直径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w:t>
      </w:r>
      <w:r>
        <w:rPr>
          <w:rFonts w:hint="default" w:ascii="仿宋" w:hAnsi="仿宋" w:eastAsia="仿宋" w:cs="仿宋"/>
          <w:sz w:val="24"/>
          <w:szCs w:val="24"/>
          <w:highlight w:val="none"/>
          <w:lang w:val="en-US" w:eastAsia="zh-CN"/>
        </w:rPr>
        <w:t xml:space="preserve">19m</w:t>
      </w:r>
      <w:r>
        <w:rPr>
          <w:rFonts w:hint="eastAsia" w:ascii="仿宋" w:hAnsi="仿宋" w:eastAsia="仿宋" w:cs="仿宋"/>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1.1.6 </w:t>
      </w:r>
      <w:r>
        <w:rPr>
          <w:rFonts w:hint="eastAsia" w:ascii="仿宋" w:hAnsi="仿宋" w:eastAsia="仿宋" w:cs="仿宋"/>
          <w:sz w:val="24"/>
          <w:szCs w:val="24"/>
          <w:highlight w:val="none"/>
          <w:lang w:val="en-US" w:eastAsia="zh-CN"/>
        </w:rPr>
        <w:t xml:space="preserve">载液量：≥</w:t>
      </w:r>
      <w:r>
        <w:rPr>
          <w:rFonts w:hint="default" w:ascii="仿宋" w:hAnsi="仿宋" w:eastAsia="仿宋" w:cs="仿宋"/>
          <w:sz w:val="24"/>
          <w:szCs w:val="24"/>
          <w:highlight w:val="none"/>
          <w:lang w:val="en-US" w:eastAsia="zh-CN"/>
        </w:rPr>
        <w:t xml:space="preserve">8000kg</w:t>
      </w:r>
      <w:r>
        <w:rPr>
          <w:rFonts w:hint="eastAsia" w:ascii="仿宋" w:hAnsi="仿宋" w:eastAsia="仿宋" w:cs="仿宋"/>
          <w:sz w:val="24"/>
          <w:szCs w:val="24"/>
          <w:highlight w:val="none"/>
          <w:lang w:val="en-US" w:eastAsia="zh-CN"/>
        </w:rPr>
        <w:t xml:space="preserve">（水）</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1.1.7 </w:t>
      </w:r>
      <w:r>
        <w:rPr>
          <w:rFonts w:hint="eastAsia" w:ascii="宋体" w:hAnsi="宋体" w:eastAsia="宋体" w:cs="宋体"/>
          <w:color w:val="auto"/>
          <w:sz w:val="21"/>
          <w:szCs w:val="21"/>
          <w:highlight w:val="none"/>
        </w:rPr>
        <w:t xml:space="preserve">★</w:t>
      </w:r>
      <w:r>
        <w:rPr>
          <w:rFonts w:hint="eastAsia" w:ascii="仿宋" w:hAnsi="仿宋" w:eastAsia="仿宋" w:cs="仿宋"/>
          <w:sz w:val="24"/>
          <w:szCs w:val="24"/>
          <w:highlight w:val="none"/>
          <w:lang w:val="en-US" w:eastAsia="zh-CN"/>
        </w:rPr>
        <w:t xml:space="preserve">外形尺寸（长×宽×高）：≤</w:t>
      </w:r>
      <w:r>
        <w:rPr>
          <w:rFonts w:hint="default" w:ascii="仿宋" w:hAnsi="仿宋" w:eastAsia="仿宋" w:cs="仿宋"/>
          <w:sz w:val="24"/>
          <w:szCs w:val="24"/>
          <w:highlight w:val="none"/>
          <w:lang w:val="en-US" w:eastAsia="zh-CN"/>
        </w:rPr>
        <w:t xml:space="preserve">900</w:t>
      </w:r>
      <w:r>
        <w:rPr>
          <w:rFonts w:hint="eastAsia" w:ascii="仿宋" w:hAnsi="仿宋" w:eastAsia="仿宋" w:cs="仿宋"/>
          <w:sz w:val="24"/>
          <w:szCs w:val="24"/>
          <w:highlight w:val="none"/>
          <w:lang w:val="en-US" w:eastAsia="zh-CN"/>
        </w:rPr>
        <w:t xml:space="preserve">0×2</w:t>
      </w:r>
      <w:r>
        <w:rPr>
          <w:rFonts w:hint="default" w:ascii="仿宋" w:hAnsi="仿宋" w:eastAsia="仿宋" w:cs="仿宋"/>
          <w:sz w:val="24"/>
          <w:szCs w:val="24"/>
          <w:highlight w:val="none"/>
          <w:lang w:val="en-US" w:eastAsia="zh-CN"/>
        </w:rPr>
        <w:t xml:space="preserve">55</w:t>
      </w:r>
      <w:r>
        <w:rPr>
          <w:rFonts w:hint="eastAsia" w:ascii="仿宋" w:hAnsi="仿宋" w:eastAsia="仿宋" w:cs="仿宋"/>
          <w:sz w:val="24"/>
          <w:szCs w:val="24"/>
          <w:highlight w:val="none"/>
          <w:lang w:val="en-US" w:eastAsia="zh-CN"/>
        </w:rPr>
        <w:t xml:space="preserve">0×40</w:t>
      </w:r>
      <w:r>
        <w:rPr>
          <w:rFonts w:hint="default"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lang w:val="en-US" w:eastAsia="zh-CN"/>
        </w:rPr>
        <w:t xml:space="preserve">0</w:t>
      </w:r>
      <w:r>
        <w:rPr>
          <w:rFonts w:hint="default" w:ascii="仿宋" w:hAnsi="仿宋" w:eastAsia="仿宋" w:cs="仿宋"/>
          <w:sz w:val="24"/>
          <w:szCs w:val="24"/>
          <w:highlight w:val="none"/>
          <w:lang w:val="en-US" w:eastAsia="zh-CN"/>
        </w:rPr>
        <w:t xml:space="preserve">mm</w:t>
      </w:r>
      <w:r>
        <w:rPr>
          <w:rFonts w:hint="eastAsia" w:ascii="仿宋" w:hAnsi="仿宋" w:eastAsia="仿宋" w:cs="仿宋"/>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1.1.8 </w:t>
      </w:r>
      <w:r>
        <w:rPr>
          <w:rFonts w:hint="eastAsia" w:ascii="仿宋" w:hAnsi="仿宋" w:eastAsia="仿宋" w:cs="仿宋"/>
          <w:sz w:val="24"/>
          <w:szCs w:val="24"/>
          <w:highlight w:val="none"/>
        </w:rPr>
        <w:t xml:space="preserve">最高车速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100</w:t>
      </w:r>
      <w:r>
        <w:rPr>
          <w:rFonts w:hint="eastAsia" w:ascii="仿宋" w:hAnsi="仿宋" w:eastAsia="仿宋" w:cs="仿宋"/>
          <w:sz w:val="24"/>
          <w:szCs w:val="24"/>
          <w:highlight w:val="none"/>
        </w:rPr>
        <w:t xml:space="preserve">km/h</w:t>
      </w:r>
      <w:r>
        <w:rPr>
          <w:rFonts w:hint="eastAsia" w:ascii="仿宋" w:hAnsi="仿宋" w:eastAsia="仿宋" w:cs="仿宋"/>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 底盘</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 发动机功率：≥</w:t>
      </w:r>
      <w:r>
        <w:rPr>
          <w:rFonts w:hint="default" w:ascii="仿宋" w:hAnsi="仿宋" w:eastAsia="仿宋" w:cs="仿宋"/>
          <w:sz w:val="24"/>
          <w:szCs w:val="24"/>
          <w:highlight w:val="none"/>
          <w:lang w:val="en-US"/>
        </w:rPr>
        <w:t xml:space="preserve">254</w:t>
      </w:r>
      <w:r>
        <w:rPr>
          <w:rFonts w:hint="eastAsia" w:ascii="仿宋" w:hAnsi="仿宋" w:eastAsia="仿宋" w:cs="仿宋"/>
          <w:sz w:val="24"/>
          <w:szCs w:val="24"/>
          <w:highlight w:val="none"/>
        </w:rPr>
        <w:t xml:space="preserve">kW；</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 燃料：柴油；</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 尾气排放：国六排放标准；</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 驱动型式：</w:t>
      </w:r>
      <w:r>
        <w:rPr>
          <w:rFonts w:hint="default" w:ascii="仿宋" w:hAnsi="仿宋" w:eastAsia="仿宋" w:cs="仿宋"/>
          <w:sz w:val="24"/>
          <w:szCs w:val="24"/>
          <w:highlight w:val="none"/>
          <w:lang w:val="en-US"/>
        </w:rPr>
        <w:t xml:space="preserve">4</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2</w:t>
      </w:r>
      <w:r>
        <w:rPr>
          <w:rFonts w:hint="eastAsia" w:ascii="仿宋" w:hAnsi="仿宋" w:eastAsia="仿宋" w:cs="仿宋"/>
          <w:sz w:val="24"/>
          <w:szCs w:val="24"/>
          <w:highlight w:val="none"/>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1.2.5 取力器：</w:t>
      </w:r>
      <w:r>
        <w:rPr>
          <w:rFonts w:hint="eastAsia" w:ascii="仿宋" w:hAnsi="仿宋" w:eastAsia="仿宋" w:cs="仿宋"/>
          <w:sz w:val="24"/>
          <w:szCs w:val="24"/>
          <w:highlight w:val="none"/>
          <w:lang w:eastAsia="zh-CN"/>
        </w:rPr>
        <w:t xml:space="preserve">底盘原装</w:t>
      </w:r>
      <w:r>
        <w:rPr>
          <w:rFonts w:hint="eastAsia" w:ascii="仿宋" w:hAnsi="仿宋" w:eastAsia="仿宋" w:cs="仿宋"/>
          <w:sz w:val="24"/>
          <w:szCs w:val="24"/>
          <w:highlight w:val="none"/>
          <w:lang w:val="en-US" w:eastAsia="zh-CN"/>
        </w:rPr>
        <w:t xml:space="preserve">夹心式</w:t>
      </w:r>
      <w:r>
        <w:rPr>
          <w:rFonts w:hint="eastAsia" w:ascii="仿宋" w:hAnsi="仿宋" w:eastAsia="仿宋" w:cs="仿宋"/>
          <w:sz w:val="24"/>
          <w:szCs w:val="24"/>
          <w:highlight w:val="none"/>
        </w:rPr>
        <w:t xml:space="preserve">取力器</w:t>
      </w:r>
      <w:r>
        <w:rPr>
          <w:rFonts w:hint="eastAsia" w:ascii="仿宋" w:hAnsi="仿宋" w:eastAsia="仿宋" w:cs="仿宋"/>
          <w:sz w:val="24"/>
          <w:szCs w:val="24"/>
          <w:highlight w:val="none"/>
          <w:lang w:eastAsia="zh-CN"/>
        </w:rPr>
        <w:t xml:space="preserve">；</w:t>
      </w:r>
      <w:r/>
    </w:p>
    <w:p>
      <w:pPr>
        <w:ind w:left="0" w:right="0" w:firstLine="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1.2.6 四开门双排驾驶室,乘员人数 2+4 人，电动举升翻转系统，四点全浮驾驶室悬置。</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1.2.7 驾驶员为可调座椅，前排座椅均装置三点式安全带，后排标配有4个空呼器座椅，配有三点式安全带</w:t>
      </w:r>
      <w:r>
        <w:rPr>
          <w:rFonts w:hint="eastAsia" w:ascii="仿宋" w:hAnsi="仿宋" w:eastAsia="仿宋" w:cs="仿宋"/>
          <w:sz w:val="24"/>
          <w:szCs w:val="24"/>
          <w:highlight w:val="none"/>
          <w:lang w:eastAsia="zh-CN"/>
        </w:rPr>
        <w:t xml:space="preserve">，驾驶室空调系统，三锁（车门锁、车辆启动开关、油箱盖锁）合一；</w:t>
      </w:r>
      <w:r/>
    </w:p>
    <w:p>
      <w:pPr>
        <w:ind w:left="0" w:right="0" w:firstLine="0"/>
        <w:jc w:val="left"/>
        <w:keepLines w:val="0"/>
        <w:keepNext w:val="0"/>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sz w:val="24"/>
          <w:szCs w:val="24"/>
          <w:highlight w:val="none"/>
        </w:rPr>
        <w:t xml:space="preserve">1.2.8 轮胎：</w:t>
      </w:r>
      <w:r>
        <w:rPr>
          <w:rFonts w:hint="default" w:ascii="仿宋" w:hAnsi="仿宋" w:eastAsia="仿宋" w:cs="仿宋"/>
          <w:bCs/>
          <w:sz w:val="24"/>
          <w:szCs w:val="24"/>
          <w:highlight w:val="none"/>
          <w:lang w:val="en-US"/>
        </w:rPr>
        <w:t xml:space="preserve">前桥：315/80 R22.5，子午线钢丝胎；</w:t>
      </w:r>
      <w:r>
        <w:rPr>
          <w:rFonts w:hint="eastAsia" w:ascii="仿宋" w:hAnsi="仿宋" w:eastAsia="仿宋" w:cs="仿宋"/>
          <w:bCs/>
          <w:sz w:val="24"/>
          <w:szCs w:val="24"/>
          <w:highlight w:val="none"/>
          <w:lang w:val="en-US" w:eastAsia="zh-CN"/>
        </w:rPr>
        <w:t xml:space="preserve">后</w:t>
      </w:r>
      <w:r>
        <w:rPr>
          <w:rFonts w:hint="default" w:ascii="仿宋" w:hAnsi="仿宋" w:eastAsia="仿宋" w:cs="仿宋"/>
          <w:bCs/>
          <w:sz w:val="24"/>
          <w:szCs w:val="24"/>
          <w:highlight w:val="none"/>
          <w:lang w:val="en-US"/>
        </w:rPr>
        <w:t xml:space="preserve">桥：315/80 R22.5，子午线钢丝轮胎</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共</w:t>
      </w:r>
      <w:r>
        <w:rPr>
          <w:rFonts w:hint="default" w:ascii="仿宋" w:hAnsi="仿宋" w:eastAsia="仿宋" w:cs="仿宋"/>
          <w:bCs/>
          <w:sz w:val="24"/>
          <w:szCs w:val="24"/>
          <w:highlight w:val="none"/>
          <w:lang w:val="en-US"/>
        </w:rPr>
        <w:t xml:space="preserve">7</w:t>
      </w:r>
      <w:r>
        <w:rPr>
          <w:rFonts w:hint="eastAsia" w:ascii="仿宋" w:hAnsi="仿宋" w:eastAsia="仿宋" w:cs="仿宋"/>
          <w:bCs/>
          <w:sz w:val="24"/>
          <w:szCs w:val="24"/>
          <w:highlight w:val="none"/>
        </w:rPr>
        <w:t xml:space="preserve">条（含1条备胎）</w:t>
      </w:r>
      <w:r>
        <w:rPr>
          <w:rFonts w:hint="eastAsia" w:ascii="仿宋" w:hAnsi="仿宋" w:eastAsia="仿宋" w:cs="仿宋"/>
          <w:bCs/>
          <w:sz w:val="24"/>
          <w:szCs w:val="24"/>
          <w:highlight w:val="none"/>
          <w:lang w:eastAsia="zh-CN"/>
        </w:rPr>
        <w:t xml:space="preserve">；</w:t>
      </w:r>
      <w:r/>
    </w:p>
    <w:p>
      <w:pPr>
        <w:ind w:left="0" w:right="0" w:firstLine="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1.2.9 燃油箱</w:t>
      </w:r>
      <w:r>
        <w:rPr>
          <w:rFonts w:hint="eastAsia" w:ascii="仿宋" w:hAnsi="仿宋" w:eastAsia="仿宋" w:cs="仿宋"/>
          <w:sz w:val="24"/>
          <w:szCs w:val="24"/>
          <w:highlight w:val="none"/>
          <w:lang w:eastAsia="zh-CN"/>
        </w:rPr>
        <w:t xml:space="preserve">：容积</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19</w:t>
      </w:r>
      <w:r>
        <w:rPr>
          <w:rFonts w:hint="eastAsia" w:ascii="仿宋" w:hAnsi="仿宋" w:eastAsia="仿宋" w:cs="仿宋"/>
          <w:sz w:val="24"/>
          <w:szCs w:val="24"/>
          <w:highlight w:val="none"/>
        </w:rPr>
        <w:t xml:space="preserve">0L，</w:t>
      </w:r>
      <w:r>
        <w:rPr>
          <w:rFonts w:hint="eastAsia" w:ascii="仿宋" w:hAnsi="仿宋" w:eastAsia="仿宋" w:cs="仿宋"/>
          <w:sz w:val="24"/>
          <w:szCs w:val="24"/>
          <w:highlight w:val="none"/>
          <w:lang w:eastAsia="zh-CN"/>
        </w:rPr>
        <w:t xml:space="preserve">铝合金材质，</w:t>
      </w:r>
      <w:r>
        <w:rPr>
          <w:rFonts w:hint="eastAsia" w:ascii="仿宋" w:hAnsi="仿宋" w:eastAsia="仿宋" w:cs="仿宋"/>
          <w:sz w:val="24"/>
          <w:szCs w:val="24"/>
          <w:highlight w:val="none"/>
        </w:rPr>
        <w:t xml:space="preserve">燃油箱带锁（三锁合一）；≥</w:t>
      </w:r>
      <w:r>
        <w:rPr>
          <w:rFonts w:hint="default" w:ascii="仿宋" w:hAnsi="仿宋" w:eastAsia="仿宋" w:cs="仿宋"/>
          <w:sz w:val="24"/>
          <w:szCs w:val="24"/>
          <w:highlight w:val="none"/>
          <w:lang w:val="en-US"/>
        </w:rPr>
        <w:t xml:space="preserve">40</w:t>
      </w:r>
      <w:r>
        <w:rPr>
          <w:rFonts w:hint="eastAsia" w:ascii="仿宋" w:hAnsi="仿宋" w:eastAsia="仿宋" w:cs="仿宋"/>
          <w:sz w:val="24"/>
          <w:szCs w:val="24"/>
          <w:highlight w:val="none"/>
        </w:rPr>
        <w:t xml:space="preserve">L尿素罐；</w:t>
      </w:r>
      <w:r/>
    </w:p>
    <w:p>
      <w:pPr>
        <w:ind w:left="0" w:righ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rPr>
        <w:t xml:space="preserve">1.2.10 </w:t>
      </w:r>
      <w:r>
        <w:rPr>
          <w:rFonts w:hint="eastAsia" w:ascii="仿宋" w:hAnsi="仿宋" w:eastAsia="仿宋" w:cs="仿宋"/>
          <w:sz w:val="24"/>
          <w:szCs w:val="24"/>
          <w:highlight w:val="none"/>
          <w:lang w:val="en-US" w:eastAsia="zh-CN"/>
        </w:rPr>
        <w:t xml:space="preserve">轴距：≤</w:t>
      </w:r>
      <w:r>
        <w:rPr>
          <w:rFonts w:hint="default" w:ascii="仿宋" w:hAnsi="仿宋" w:eastAsia="仿宋" w:cs="仿宋"/>
          <w:sz w:val="24"/>
          <w:szCs w:val="24"/>
          <w:highlight w:val="none"/>
          <w:lang w:val="en-US"/>
        </w:rPr>
        <w:t xml:space="preserve">4800mm</w:t>
      </w:r>
      <w:r>
        <w:rPr>
          <w:rFonts w:hint="eastAsia" w:ascii="仿宋" w:hAnsi="仿宋" w:eastAsia="仿宋" w:cs="仿宋"/>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rPr>
        <w:t xml:space="preserve">1.2.11 </w:t>
      </w:r>
      <w:r>
        <w:rPr>
          <w:rFonts w:hint="eastAsia" w:ascii="宋体" w:hAnsi="宋体" w:eastAsia="宋体" w:cs="宋体"/>
          <w:color w:val="auto"/>
          <w:sz w:val="21"/>
          <w:szCs w:val="21"/>
          <w:highlight w:val="none"/>
        </w:rPr>
        <w:t xml:space="preserve">★</w:t>
      </w:r>
      <w:r>
        <w:rPr>
          <w:rFonts w:hint="eastAsia" w:ascii="仿宋" w:hAnsi="仿宋" w:eastAsia="仿宋" w:cs="仿宋"/>
          <w:sz w:val="24"/>
          <w:szCs w:val="24"/>
          <w:highlight w:val="none"/>
          <w:lang w:val="en-US" w:eastAsia="zh-CN"/>
        </w:rPr>
        <w:t xml:space="preserve">制动系统：车辆配有发动机排气制动、EBS电控制动系统（含ABS功能）、ESC电子车身稳定系统等安全辅助驾驶功能，满足车辆安全行驶需求；</w:t>
      </w:r>
      <w:r/>
    </w:p>
    <w:p>
      <w:pPr>
        <w:ind w:left="0" w:right="0" w:firstLine="0"/>
        <w:jc w:val="left"/>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1.2.12 </w:t>
      </w:r>
      <w:r>
        <w:rPr>
          <w:rFonts w:hint="eastAsia" w:ascii="仿宋" w:hAnsi="仿宋" w:eastAsia="仿宋" w:cs="仿宋"/>
          <w:color w:val="auto"/>
          <w:sz w:val="24"/>
          <w:szCs w:val="24"/>
          <w:lang w:val="en-US" w:eastAsia="zh-CN"/>
        </w:rPr>
        <w:t xml:space="preserve">配备底盘原装全轮胎压监测系统</w:t>
      </w:r>
      <w:r>
        <w:rPr>
          <w:rFonts w:hint="eastAsia" w:ascii="仿宋" w:hAnsi="仿宋" w:eastAsia="仿宋" w:cs="仿宋"/>
          <w:sz w:val="24"/>
          <w:szCs w:val="24"/>
          <w:highlight w:val="none"/>
          <w:lang w:val="en-US" w:eastAsia="zh-CN"/>
        </w:rPr>
        <w:t xml:space="preserve">。</w:t>
      </w:r>
      <w:r/>
    </w:p>
    <w:p>
      <w:pPr>
        <w:ind w:left="0" w:right="0" w:firstLine="0"/>
        <w:keepLines w:val="0"/>
        <w:keepNext w:val="0"/>
        <w:pageBreakBefore w:val="0"/>
        <w:spacing w:line="360" w:lineRule="auto"/>
        <w:widowControl w:val="off"/>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1.3</w:t>
      </w:r>
      <w:r>
        <w:rPr>
          <w:rFonts w:hint="eastAsia" w:ascii="仿宋" w:hAnsi="仿宋" w:eastAsia="仿宋" w:cs="仿宋"/>
          <w:b/>
          <w:sz w:val="24"/>
          <w:szCs w:val="24"/>
          <w:highlight w:val="none"/>
          <w:lang w:val="en-US" w:eastAsia="zh-CN"/>
        </w:rPr>
        <w:t xml:space="preserve">消防系统</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1.3.1 </w:t>
      </w:r>
      <w:r>
        <w:rPr>
          <w:rFonts w:hint="eastAsia" w:ascii="宋体" w:hAnsi="宋体" w:eastAsia="宋体" w:cs="宋体"/>
          <w:color w:val="auto"/>
          <w:sz w:val="21"/>
          <w:szCs w:val="21"/>
          <w:highlight w:val="none"/>
        </w:rPr>
        <w:t xml:space="preserve">★</w:t>
      </w:r>
      <w:r>
        <w:rPr>
          <w:rFonts w:hint="eastAsia" w:ascii="仿宋" w:hAnsi="仿宋" w:eastAsia="仿宋" w:cs="仿宋"/>
          <w:sz w:val="24"/>
          <w:szCs w:val="24"/>
          <w:highlight w:val="none"/>
          <w:lang w:val="en-US" w:eastAsia="zh-CN"/>
        </w:rPr>
        <w:t xml:space="preserve">罐体采用不低于优质碳钢材质。</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 水罐罐顶设有</w:t>
      </w:r>
      <w:r>
        <w:rPr>
          <w:rFonts w:hint="default" w:ascii="仿宋" w:hAnsi="仿宋" w:eastAsia="仿宋" w:cs="仿宋"/>
          <w:sz w:val="24"/>
          <w:szCs w:val="24"/>
          <w:lang w:val="en-US"/>
        </w:rPr>
        <w:t xml:space="preserve">≥φ450</w:t>
      </w:r>
      <w:r>
        <w:rPr>
          <w:rFonts w:hint="eastAsia" w:ascii="仿宋" w:hAnsi="仿宋" w:eastAsia="仿宋" w:cs="仿宋"/>
          <w:sz w:val="24"/>
          <w:szCs w:val="24"/>
          <w:highlight w:val="none"/>
        </w:rPr>
        <w:t xml:space="preserve">mm的人孔，加装快速开启/锁定装置的罐盖，罐底设排污口，配球阀。</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1.3.3</w:t>
      </w:r>
      <w:r>
        <w:rPr>
          <w:rFonts w:hint="default"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水罐注水设施：安装</w:t>
      </w:r>
      <w:r>
        <w:rPr>
          <w:rFonts w:hint="default" w:ascii="仿宋" w:hAnsi="仿宋" w:eastAsia="仿宋" w:cs="仿宋"/>
          <w:sz w:val="24"/>
          <w:szCs w:val="24"/>
          <w:highlight w:val="none"/>
          <w:lang w:val="en-US"/>
        </w:rPr>
        <w:t xml:space="preserve">4</w:t>
      </w:r>
      <w:r>
        <w:rPr>
          <w:rFonts w:hint="eastAsia" w:ascii="仿宋" w:hAnsi="仿宋" w:eastAsia="仿宋" w:cs="仿宋"/>
          <w:sz w:val="24"/>
          <w:szCs w:val="24"/>
          <w:highlight w:val="none"/>
        </w:rPr>
        <w:t xml:space="preserve">个向水罐注水的进水管；1个水泵向水罐注水的管道，配有控制阀</w:t>
      </w:r>
      <w:r>
        <w:rPr>
          <w:rFonts w:hint="eastAsia" w:ascii="仿宋" w:hAnsi="仿宋" w:eastAsia="仿宋" w:cs="仿宋"/>
          <w:sz w:val="24"/>
          <w:szCs w:val="24"/>
          <w:highlight w:val="none"/>
          <w:lang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1.3.4罐体配有液位计用于测量水容积</w:t>
      </w:r>
      <w:r>
        <w:rPr>
          <w:rFonts w:hint="eastAsia" w:ascii="仿宋" w:hAnsi="仿宋" w:eastAsia="仿宋" w:cs="仿宋"/>
          <w:sz w:val="24"/>
          <w:szCs w:val="24"/>
          <w:highlight w:val="none"/>
          <w:lang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1.3.6</w:t>
      </w:r>
      <w:r>
        <w:rPr>
          <w:rFonts w:hint="eastAsia" w:ascii="仿宋" w:hAnsi="仿宋" w:eastAsia="仿宋" w:cs="仿宋"/>
          <w:sz w:val="24"/>
          <w:szCs w:val="24"/>
          <w:highlight w:val="none"/>
          <w:lang w:val="en-US" w:eastAsia="zh-CN"/>
        </w:rPr>
        <w:t xml:space="preserve">消防泵</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1.3.6.1</w:t>
      </w:r>
      <w:r>
        <w:rPr>
          <w:rFonts w:hint="eastAsia" w:ascii="仿宋" w:hAnsi="仿宋" w:eastAsia="仿宋" w:cs="仿宋"/>
          <w:sz w:val="24"/>
          <w:szCs w:val="24"/>
          <w:highlight w:val="none"/>
          <w:lang w:val="en-US" w:eastAsia="zh-CN"/>
        </w:rPr>
        <w:t xml:space="preserve">品牌：知名品牌；</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1.3.6.2</w:t>
      </w:r>
      <w:r>
        <w:rPr>
          <w:rFonts w:hint="eastAsia" w:ascii="仿宋" w:hAnsi="仿宋" w:eastAsia="仿宋" w:cs="仿宋"/>
          <w:sz w:val="24"/>
          <w:szCs w:val="24"/>
          <w:highlight w:val="none"/>
          <w:lang w:val="en-US" w:eastAsia="zh-CN"/>
        </w:rPr>
        <w:t xml:space="preserve">车载连续运转额定工况试验流量：≥</w:t>
      </w:r>
      <w:r>
        <w:rPr>
          <w:rFonts w:hint="default" w:ascii="仿宋" w:hAnsi="仿宋" w:eastAsia="仿宋" w:cs="仿宋"/>
          <w:sz w:val="24"/>
          <w:szCs w:val="24"/>
          <w:highlight w:val="none"/>
          <w:lang w:val="en-US" w:eastAsia="zh-CN"/>
        </w:rPr>
        <w:t xml:space="preserve">60L/s</w:t>
      </w:r>
      <w:r>
        <w:rPr>
          <w:rFonts w:hint="eastAsia" w:ascii="仿宋" w:hAnsi="仿宋" w:eastAsia="仿宋" w:cs="仿宋"/>
          <w:sz w:val="24"/>
          <w:szCs w:val="24"/>
          <w:highlight w:val="none"/>
          <w:lang w:val="en-US" w:eastAsia="zh-CN"/>
        </w:rPr>
        <w:t xml:space="preserve">，≥</w:t>
      </w:r>
      <w:r>
        <w:rPr>
          <w:rFonts w:hint="default" w:ascii="仿宋" w:hAnsi="仿宋" w:eastAsia="仿宋" w:cs="仿宋"/>
          <w:sz w:val="24"/>
          <w:szCs w:val="24"/>
          <w:highlight w:val="none"/>
          <w:lang w:val="en-US" w:eastAsia="zh-CN"/>
        </w:rPr>
        <w:t xml:space="preserve">1.0MPa</w:t>
      </w:r>
      <w:r>
        <w:rPr>
          <w:rFonts w:hint="eastAsia" w:ascii="仿宋" w:hAnsi="仿宋" w:eastAsia="仿宋" w:cs="仿宋"/>
          <w:sz w:val="24"/>
          <w:szCs w:val="24"/>
          <w:highlight w:val="none"/>
          <w:lang w:val="en-US" w:eastAsia="zh-CN"/>
        </w:rPr>
        <w:t xml:space="preserve">；</w:t>
      </w:r>
      <w:r/>
    </w:p>
    <w:p>
      <w:pPr>
        <w:ind w:left="0" w:right="0" w:firstLine="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1.3.6.3</w:t>
      </w:r>
      <w:r>
        <w:rPr>
          <w:rFonts w:hint="eastAsia" w:ascii="仿宋" w:hAnsi="仿宋" w:eastAsia="仿宋" w:cs="仿宋"/>
          <w:sz w:val="24"/>
          <w:szCs w:val="24"/>
          <w:highlight w:val="none"/>
          <w:lang w:val="en-US" w:eastAsia="zh-CN"/>
        </w:rPr>
        <w:t xml:space="preserve">引水时间：≤</w:t>
      </w:r>
      <w:r>
        <w:rPr>
          <w:rFonts w:hint="default" w:ascii="仿宋" w:hAnsi="仿宋" w:eastAsia="仿宋" w:cs="仿宋"/>
          <w:sz w:val="24"/>
          <w:szCs w:val="24"/>
          <w:highlight w:val="none"/>
          <w:lang w:val="en-US" w:eastAsia="zh-CN"/>
        </w:rPr>
        <w:t xml:space="preserve">60s</w:t>
      </w:r>
      <w:r>
        <w:rPr>
          <w:rFonts w:hint="eastAsia" w:ascii="仿宋" w:hAnsi="仿宋" w:eastAsia="仿宋" w:cs="仿宋"/>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1.3.7 </w:t>
      </w:r>
      <w:r>
        <w:rPr>
          <w:rFonts w:hint="eastAsia" w:ascii="仿宋" w:hAnsi="仿宋" w:eastAsia="仿宋" w:cs="仿宋"/>
          <w:sz w:val="24"/>
          <w:szCs w:val="24"/>
          <w:highlight w:val="none"/>
          <w:lang w:val="en-US" w:eastAsia="zh-CN"/>
        </w:rPr>
        <w:t xml:space="preserve">消防炮</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1.3.7.1</w:t>
      </w:r>
      <w:r>
        <w:rPr>
          <w:rFonts w:hint="eastAsia" w:ascii="仿宋" w:hAnsi="仿宋" w:eastAsia="仿宋" w:cs="仿宋"/>
          <w:sz w:val="24"/>
          <w:szCs w:val="24"/>
          <w:highlight w:val="none"/>
          <w:lang w:val="en-US" w:eastAsia="zh-CN"/>
        </w:rPr>
        <w:t xml:space="preserve">品牌：知名品牌消防炮；</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1.3.7.2</w:t>
      </w:r>
      <w:r>
        <w:rPr>
          <w:rFonts w:hint="eastAsia" w:ascii="仿宋" w:hAnsi="仿宋" w:eastAsia="仿宋" w:cs="仿宋"/>
          <w:sz w:val="24"/>
          <w:szCs w:val="24"/>
          <w:highlight w:val="none"/>
          <w:lang w:val="en-US" w:eastAsia="zh-CN"/>
        </w:rPr>
        <w:t xml:space="preserve">额定流量：≥</w:t>
      </w:r>
      <w:r>
        <w:rPr>
          <w:rFonts w:hint="default" w:ascii="仿宋" w:hAnsi="仿宋" w:eastAsia="仿宋" w:cs="仿宋"/>
          <w:sz w:val="24"/>
          <w:szCs w:val="24"/>
          <w:highlight w:val="none"/>
          <w:lang w:val="en-US" w:eastAsia="zh-CN"/>
        </w:rPr>
        <w:t xml:space="preserve">60L/s</w:t>
      </w:r>
      <w:r>
        <w:rPr>
          <w:rFonts w:hint="eastAsia" w:ascii="仿宋" w:hAnsi="仿宋" w:eastAsia="仿宋" w:cs="仿宋"/>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1.3.7.3</w:t>
      </w:r>
      <w:r>
        <w:rPr>
          <w:rFonts w:hint="eastAsia" w:ascii="仿宋" w:hAnsi="仿宋" w:eastAsia="仿宋" w:cs="仿宋"/>
          <w:sz w:val="24"/>
          <w:szCs w:val="24"/>
          <w:highlight w:val="none"/>
          <w:lang w:val="en-US" w:eastAsia="zh-CN"/>
        </w:rPr>
        <w:t xml:space="preserve">车载射程：≥</w:t>
      </w:r>
      <w:r>
        <w:rPr>
          <w:rFonts w:hint="default"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en-US" w:eastAsia="zh-CN"/>
        </w:rPr>
        <w:t xml:space="preserve">0m（水）</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default" w:ascii="仿宋" w:hAnsi="仿宋" w:eastAsia="仿宋" w:cs="仿宋"/>
          <w:sz w:val="24"/>
          <w:szCs w:val="24"/>
          <w:highlight w:val="none"/>
          <w:lang w:val="en-US" w:eastAsia="zh-CN"/>
        </w:rPr>
        <w:t xml:space="preserve">1.3.7.3</w:t>
      </w:r>
      <w:r>
        <w:rPr>
          <w:rFonts w:hint="eastAsia" w:ascii="仿宋" w:hAnsi="仿宋" w:eastAsia="仿宋" w:cs="仿宋"/>
          <w:sz w:val="24"/>
          <w:szCs w:val="24"/>
          <w:highlight w:val="none"/>
          <w:lang w:val="en-US" w:eastAsia="zh-CN"/>
        </w:rPr>
        <w:t xml:space="preserve">消防炮装车后俯仰角：≤-</w:t>
      </w:r>
      <w:r>
        <w:rPr>
          <w:rFonts w:hint="default"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en-US" w:eastAsia="zh-CN"/>
        </w:rPr>
        <w:t xml:space="preserve">°～≥﹢</w:t>
      </w:r>
      <w:r>
        <w:rPr>
          <w:rFonts w:hint="default" w:ascii="仿宋" w:hAnsi="仿宋" w:eastAsia="仿宋" w:cs="仿宋"/>
          <w:sz w:val="24"/>
          <w:szCs w:val="24"/>
          <w:highlight w:val="none"/>
          <w:lang w:val="en-US" w:eastAsia="zh-CN"/>
        </w:rPr>
        <w:t xml:space="preserve">45</w:t>
      </w:r>
      <w:r>
        <w:rPr>
          <w:rFonts w:hint="eastAsia" w:ascii="仿宋" w:hAnsi="仿宋" w:eastAsia="仿宋" w:cs="仿宋"/>
          <w:sz w:val="24"/>
          <w:szCs w:val="24"/>
          <w:highlight w:val="none"/>
          <w:lang w:val="en-US" w:eastAsia="zh-CN"/>
        </w:rPr>
        <w:t xml:space="preserve">°，水平回转角：≥</w:t>
      </w:r>
      <w:r>
        <w:rPr>
          <w:rFonts w:hint="default" w:ascii="仿宋" w:hAnsi="仿宋" w:eastAsia="仿宋" w:cs="仿宋"/>
          <w:sz w:val="24"/>
          <w:szCs w:val="24"/>
          <w:highlight w:val="none"/>
          <w:lang w:val="en-US" w:eastAsia="zh-CN"/>
        </w:rPr>
        <w:t xml:space="preserve">270</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rPr>
        <w:t xml:space="preserve">1.3.8 </w:t>
      </w:r>
      <w:r>
        <w:rPr>
          <w:rFonts w:hint="eastAsia" w:ascii="仿宋" w:hAnsi="仿宋" w:eastAsia="仿宋" w:cs="仿宋"/>
          <w:sz w:val="24"/>
          <w:szCs w:val="24"/>
          <w:highlight w:val="none"/>
          <w:lang w:val="en-US" w:eastAsia="zh-CN"/>
        </w:rPr>
        <w:t xml:space="preserve">消防接口配置</w:t>
      </w:r>
      <w:r/>
    </w:p>
    <w:tbl>
      <w:tblPr>
        <w:tblStyle w:val="67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7"/>
        <w:gridCol w:w="2096"/>
        <w:gridCol w:w="3235"/>
      </w:tblGrid>
      <w:tr>
        <w:trPr>
          <w:jc w:val="center"/>
          <w:trHeight w:val="32"/>
        </w:trPr>
        <w:tc>
          <w:tcPr>
            <w:tcW w:w="2323" w:type="pct"/>
            <w:vAlign w:val="center"/>
            <w:textDirection w:val="lrTb"/>
            <w:noWrap w:val="false"/>
          </w:tcPr>
          <w:p>
            <w:pPr>
              <w:jc w:val="center"/>
              <w:spacing w:line="360" w:lineRule="auto"/>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接口</w:t>
            </w:r>
            <w:r/>
          </w:p>
        </w:tc>
        <w:tc>
          <w:tcPr>
            <w:tcW w:w="1052" w:type="pct"/>
            <w:vAlign w:val="center"/>
            <w:textDirection w:val="lrTb"/>
            <w:noWrap w:val="false"/>
          </w:tcPr>
          <w:p>
            <w:pPr>
              <w:jc w:val="center"/>
              <w:spacing w:line="360" w:lineRule="auto"/>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规格</w:t>
            </w:r>
            <w:r/>
          </w:p>
        </w:tc>
        <w:tc>
          <w:tcPr>
            <w:tcW w:w="1624" w:type="pct"/>
            <w:vAlign w:val="center"/>
            <w:textDirection w:val="lrTb"/>
            <w:noWrap w:val="false"/>
          </w:tcPr>
          <w:p>
            <w:pPr>
              <w:jc w:val="center"/>
              <w:spacing w:line="360" w:lineRule="auto"/>
              <w:rPr>
                <w:rFonts w:ascii="仿宋" w:hAnsi="仿宋" w:eastAsia="仿宋" w:cs="仿宋"/>
                <w:bCs/>
                <w:color w:val="auto"/>
                <w:szCs w:val="21"/>
                <w:highlight w:val="none"/>
              </w:rPr>
            </w:pPr>
            <w:r>
              <w:rPr>
                <w:rFonts w:hint="eastAsia" w:ascii="仿宋" w:hAnsi="仿宋" w:eastAsia="仿宋" w:cs="仿宋"/>
                <w:bCs/>
                <w:color w:val="auto"/>
                <w:szCs w:val="21"/>
                <w:highlight w:val="none"/>
              </w:rPr>
              <w:t xml:space="preserve">阀</w:t>
            </w:r>
            <w:r/>
          </w:p>
        </w:tc>
      </w:tr>
      <w:tr>
        <w:trPr>
          <w:jc w:val="center"/>
          <w:trHeight w:val="23"/>
        </w:trPr>
        <w:tc>
          <w:tcPr>
            <w:tcW w:w="2323" w:type="pct"/>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外吸水接口</w:t>
            </w:r>
            <w:r/>
          </w:p>
        </w:tc>
        <w:tc>
          <w:tcPr>
            <w:tcW w:w="1052" w:type="pct"/>
            <w:vAlign w:val="center"/>
            <w:textDirection w:val="lrTb"/>
            <w:noWrap w:val="false"/>
          </w:tcPr>
          <w:p>
            <w:pPr>
              <w:contextualSpacing/>
              <w:jc w:val="center"/>
              <w:keepLines w:val="0"/>
              <w:keepNext w:val="0"/>
              <w:pageBreakBefore w:val="0"/>
              <w:spacing w:line="360" w:lineRule="auto"/>
              <w:rPr>
                <w:rFonts w:hint="default" w:ascii="仿宋" w:hAnsi="仿宋" w:eastAsia="仿宋" w:cs="仿宋"/>
                <w:color w:val="auto"/>
                <w:szCs w:val="21"/>
                <w:highlight w:val="none"/>
                <w:lang w:val="en-US"/>
              </w:rPr>
            </w:pPr>
            <w:r>
              <w:rPr>
                <w:rFonts w:hint="eastAsia" w:ascii="仿宋" w:hAnsi="仿宋" w:eastAsia="仿宋" w:cs="仿宋"/>
                <w:sz w:val="21"/>
                <w:szCs w:val="21"/>
                <w:highlight w:val="none"/>
              </w:rPr>
              <w:t xml:space="preserve">1×DN1</w:t>
            </w:r>
            <w:r>
              <w:rPr>
                <w:rFonts w:hint="default" w:ascii="仿宋" w:hAnsi="仿宋" w:eastAsia="仿宋" w:cs="仿宋"/>
                <w:sz w:val="21"/>
                <w:szCs w:val="21"/>
                <w:highlight w:val="none"/>
                <w:lang w:val="en-US"/>
              </w:rPr>
              <w:t xml:space="preserve">50</w:t>
            </w:r>
            <w:r/>
          </w:p>
        </w:tc>
        <w:tc>
          <w:tcPr>
            <w:tcW w:w="1624" w:type="pct"/>
            <w:vAlign w:val="center"/>
            <w:textDirection w:val="lrTb"/>
            <w:noWrap w:val="false"/>
          </w:tcPr>
          <w:p>
            <w:pPr>
              <w:contextualSpacing/>
              <w:jc w:val="center"/>
              <w:keepLines w:val="0"/>
              <w:keepNext w:val="0"/>
              <w:pageBreakBefore w:val="0"/>
              <w:spacing w:line="360" w:lineRule="auto"/>
              <w:rPr>
                <w:rFonts w:ascii="仿宋" w:hAnsi="仿宋" w:eastAsia="仿宋" w:cs="仿宋"/>
                <w:color w:val="auto"/>
                <w:szCs w:val="21"/>
                <w:highlight w:val="none"/>
              </w:rPr>
            </w:pPr>
            <w:r>
              <w:rPr>
                <w:rFonts w:hint="eastAsia" w:ascii="仿宋" w:hAnsi="仿宋" w:eastAsia="仿宋" w:cs="仿宋"/>
                <w:sz w:val="21"/>
                <w:szCs w:val="21"/>
                <w:highlight w:val="none"/>
              </w:rPr>
              <w:t xml:space="preserve">配闷盖</w:t>
            </w:r>
            <w:r/>
          </w:p>
        </w:tc>
      </w:tr>
      <w:tr>
        <w:trPr>
          <w:jc w:val="center"/>
          <w:trHeight w:val="23"/>
        </w:trPr>
        <w:tc>
          <w:tcPr>
            <w:tcW w:w="2323" w:type="pct"/>
            <w:vAlign w:val="center"/>
            <w:textDirection w:val="lrTb"/>
            <w:noWrap w:val="false"/>
          </w:tcPr>
          <w:p>
            <w:pPr>
              <w:contextualSpacing/>
              <w:jc w:val="center"/>
              <w:keepLines w:val="0"/>
              <w:keepNext w:val="0"/>
              <w:pageBreakBefore w:val="0"/>
              <w:spacing w:line="360" w:lineRule="auto"/>
              <w:rPr>
                <w:rFonts w:ascii="仿宋" w:hAnsi="仿宋" w:eastAsia="仿宋" w:cs="仿宋"/>
                <w:color w:val="auto"/>
                <w:szCs w:val="21"/>
                <w:highlight w:val="none"/>
              </w:rPr>
            </w:pPr>
            <w:r>
              <w:rPr>
                <w:rFonts w:hint="eastAsia" w:ascii="仿宋" w:hAnsi="仿宋" w:eastAsia="仿宋" w:cs="仿宋"/>
                <w:sz w:val="21"/>
                <w:szCs w:val="21"/>
                <w:highlight w:val="none"/>
              </w:rPr>
              <w:t xml:space="preserve">出水接口</w:t>
            </w:r>
            <w:r/>
          </w:p>
        </w:tc>
        <w:tc>
          <w:tcPr>
            <w:tcW w:w="1052" w:type="pct"/>
            <w:vAlign w:val="center"/>
            <w:textDirection w:val="lrTb"/>
            <w:noWrap w:val="false"/>
          </w:tcPr>
          <w:p>
            <w:pPr>
              <w:contextualSpacing/>
              <w:jc w:val="center"/>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2×DN80</w:t>
            </w:r>
            <w:r/>
          </w:p>
          <w:p>
            <w:pPr>
              <w:contextualSpacing/>
              <w:jc w:val="center"/>
              <w:keepLines w:val="0"/>
              <w:keepNext w:val="0"/>
              <w:pageBreakBefore w:val="0"/>
              <w:spacing w:line="360" w:lineRule="auto"/>
              <w:rPr>
                <w:rFonts w:ascii="仿宋" w:hAnsi="仿宋" w:eastAsia="仿宋" w:cs="仿宋"/>
                <w:color w:val="auto"/>
                <w:szCs w:val="21"/>
                <w:highlight w:val="none"/>
              </w:rPr>
            </w:pPr>
            <w:r>
              <w:rPr>
                <w:rFonts w:hint="eastAsia" w:ascii="仿宋" w:hAnsi="仿宋" w:eastAsia="仿宋" w:cs="仿宋"/>
                <w:sz w:val="21"/>
                <w:szCs w:val="21"/>
                <w:highlight w:val="none"/>
              </w:rPr>
              <w:t xml:space="preserve">2×DN65</w:t>
            </w:r>
            <w:r/>
          </w:p>
        </w:tc>
        <w:tc>
          <w:tcPr>
            <w:tcW w:w="1624" w:type="pct"/>
            <w:vAlign w:val="center"/>
            <w:textDirection w:val="lrTb"/>
            <w:noWrap w:val="false"/>
          </w:tcPr>
          <w:p>
            <w:pPr>
              <w:contextualSpacing/>
              <w:jc w:val="center"/>
              <w:keepLines w:val="0"/>
              <w:keepNext w:val="0"/>
              <w:pageBreakBefore w:val="0"/>
              <w:spacing w:line="360" w:lineRule="auto"/>
              <w:rPr>
                <w:rFonts w:hint="eastAsia" w:ascii="仿宋" w:hAnsi="仿宋" w:eastAsia="仿宋" w:cs="仿宋"/>
                <w:color w:val="auto"/>
                <w:szCs w:val="21"/>
                <w:highlight w:val="none"/>
                <w:lang w:eastAsia="zh-CN"/>
              </w:rPr>
            </w:pPr>
            <w:r>
              <w:rPr>
                <w:rFonts w:hint="eastAsia" w:ascii="仿宋" w:hAnsi="仿宋" w:eastAsia="仿宋" w:cs="仿宋"/>
                <w:sz w:val="21"/>
                <w:szCs w:val="21"/>
                <w:highlight w:val="none"/>
              </w:rPr>
              <w:t xml:space="preserve">手动</w:t>
            </w:r>
            <w:r>
              <w:rPr>
                <w:rFonts w:hint="eastAsia" w:ascii="仿宋" w:hAnsi="仿宋" w:eastAsia="仿宋" w:cs="仿宋"/>
                <w:sz w:val="21"/>
                <w:szCs w:val="21"/>
                <w:highlight w:val="none"/>
                <w:lang w:eastAsia="zh-CN"/>
              </w:rPr>
              <w:t xml:space="preserve">阀门</w:t>
            </w:r>
            <w:r/>
          </w:p>
        </w:tc>
      </w:tr>
      <w:tr>
        <w:trPr>
          <w:jc w:val="center"/>
          <w:trHeight w:val="23"/>
        </w:trPr>
        <w:tc>
          <w:tcPr>
            <w:tcW w:w="2323" w:type="pct"/>
            <w:vAlign w:val="center"/>
            <w:textDirection w:val="lrTb"/>
            <w:noWrap w:val="false"/>
          </w:tcPr>
          <w:p>
            <w:pPr>
              <w:contextualSpacing/>
              <w:jc w:val="center"/>
              <w:keepLines w:val="0"/>
              <w:keepNext w:val="0"/>
              <w:pageBreakBefore w:val="0"/>
              <w:spacing w:line="360" w:lineRule="auto"/>
              <w:rPr>
                <w:rFonts w:ascii="仿宋" w:hAnsi="仿宋" w:eastAsia="仿宋" w:cs="仿宋"/>
                <w:color w:val="auto"/>
                <w:szCs w:val="21"/>
                <w:highlight w:val="none"/>
              </w:rPr>
            </w:pPr>
            <w:r>
              <w:rPr>
                <w:rFonts w:hint="eastAsia" w:ascii="仿宋" w:hAnsi="仿宋" w:eastAsia="仿宋" w:cs="仿宋"/>
                <w:sz w:val="21"/>
                <w:szCs w:val="21"/>
                <w:highlight w:val="none"/>
              </w:rPr>
              <w:t xml:space="preserve">水罐排污接口</w:t>
            </w:r>
            <w:r/>
          </w:p>
        </w:tc>
        <w:tc>
          <w:tcPr>
            <w:tcW w:w="1052" w:type="pct"/>
            <w:vAlign w:val="center"/>
            <w:textDirection w:val="lrTb"/>
            <w:noWrap w:val="false"/>
          </w:tcPr>
          <w:p>
            <w:pPr>
              <w:contextualSpacing/>
              <w:jc w:val="center"/>
              <w:keepLines w:val="0"/>
              <w:keepNext w:val="0"/>
              <w:pageBreakBefore w:val="0"/>
              <w:spacing w:line="360" w:lineRule="auto"/>
              <w:rPr>
                <w:rFonts w:ascii="仿宋" w:hAnsi="仿宋" w:eastAsia="仿宋" w:cs="仿宋"/>
                <w:color w:val="auto"/>
                <w:szCs w:val="21"/>
                <w:highlight w:val="none"/>
              </w:rPr>
            </w:pPr>
            <w:r>
              <w:rPr>
                <w:rFonts w:hint="eastAsia" w:ascii="仿宋" w:hAnsi="仿宋" w:eastAsia="仿宋" w:cs="仿宋"/>
                <w:sz w:val="21"/>
                <w:szCs w:val="21"/>
                <w:highlight w:val="none"/>
              </w:rPr>
              <w:t xml:space="preserve">1×DN40</w:t>
            </w:r>
            <w:r/>
          </w:p>
        </w:tc>
        <w:tc>
          <w:tcPr>
            <w:tcW w:w="1624" w:type="pct"/>
            <w:vAlign w:val="center"/>
            <w:textDirection w:val="lrTb"/>
            <w:noWrap w:val="false"/>
          </w:tcPr>
          <w:p>
            <w:pPr>
              <w:contextualSpacing/>
              <w:jc w:val="center"/>
              <w:keepLines w:val="0"/>
              <w:keepNext w:val="0"/>
              <w:pageBreakBefore w:val="0"/>
              <w:spacing w:line="360" w:lineRule="auto"/>
              <w:rPr>
                <w:rFonts w:hint="eastAsia" w:ascii="仿宋" w:hAnsi="仿宋" w:eastAsia="仿宋" w:cs="仿宋"/>
                <w:color w:val="auto"/>
                <w:szCs w:val="21"/>
                <w:highlight w:val="none"/>
                <w:lang w:eastAsia="zh-CN"/>
              </w:rPr>
            </w:pPr>
            <w:r>
              <w:rPr>
                <w:rFonts w:hint="eastAsia" w:ascii="仿宋" w:hAnsi="仿宋" w:eastAsia="仿宋" w:cs="仿宋"/>
                <w:sz w:val="21"/>
                <w:szCs w:val="21"/>
                <w:highlight w:val="none"/>
              </w:rPr>
              <w:t xml:space="preserve">手动</w:t>
            </w:r>
            <w:r>
              <w:rPr>
                <w:rFonts w:hint="eastAsia" w:ascii="仿宋" w:hAnsi="仿宋" w:eastAsia="仿宋" w:cs="仿宋"/>
                <w:sz w:val="21"/>
                <w:szCs w:val="21"/>
                <w:highlight w:val="none"/>
                <w:lang w:eastAsia="zh-CN"/>
              </w:rPr>
              <w:t xml:space="preserve">阀门</w:t>
            </w:r>
            <w:r/>
          </w:p>
        </w:tc>
      </w:tr>
      <w:tr>
        <w:trPr>
          <w:jc w:val="center"/>
          <w:trHeight w:val="23"/>
        </w:trPr>
        <w:tc>
          <w:tcPr>
            <w:tcW w:w="2323" w:type="pct"/>
            <w:vAlign w:val="top"/>
            <w:textDirection w:val="lrTb"/>
            <w:noWrap w:val="false"/>
          </w:tcPr>
          <w:p>
            <w:pPr>
              <w:jc w:val="center"/>
              <w:spacing w:line="360" w:lineRule="auto"/>
              <w:rPr>
                <w:rFonts w:hint="eastAsia" w:ascii="仿宋" w:hAnsi="仿宋" w:eastAsia="仿宋" w:cs="仿宋"/>
                <w:bCs/>
                <w:sz w:val="21"/>
                <w:szCs w:val="21"/>
                <w:highlight w:val="none"/>
                <w:lang w:val="en-US" w:eastAsia="zh-CN" w:bidi="ar-SA"/>
              </w:rPr>
            </w:pPr>
            <w:r>
              <w:rPr>
                <w:rFonts w:hint="eastAsia" w:ascii="仿宋" w:hAnsi="仿宋" w:eastAsia="仿宋" w:cs="仿宋"/>
                <w:bCs/>
                <w:szCs w:val="21"/>
                <w:highlight w:val="none"/>
              </w:rPr>
              <w:t xml:space="preserve">水罐排污接口</w:t>
            </w:r>
            <w:r/>
          </w:p>
        </w:tc>
        <w:tc>
          <w:tcPr>
            <w:tcW w:w="1052" w:type="pct"/>
            <w:vAlign w:val="top"/>
            <w:textDirection w:val="lrTb"/>
            <w:noWrap w:val="false"/>
          </w:tcPr>
          <w:p>
            <w:pPr>
              <w:jc w:val="center"/>
              <w:spacing w:line="360" w:lineRule="auto"/>
              <w:rPr>
                <w:rFonts w:hint="eastAsia" w:ascii="仿宋" w:hAnsi="仿宋" w:eastAsia="仿宋" w:cs="仿宋"/>
                <w:bCs/>
                <w:sz w:val="21"/>
                <w:szCs w:val="21"/>
                <w:highlight w:val="none"/>
                <w:lang w:val="en-US" w:eastAsia="zh-CN" w:bidi="ar-SA"/>
              </w:rPr>
            </w:pPr>
            <w:r>
              <w:rPr>
                <w:rFonts w:hint="eastAsia" w:ascii="仿宋" w:hAnsi="仿宋" w:eastAsia="仿宋" w:cs="仿宋"/>
                <w:bCs/>
                <w:szCs w:val="21"/>
                <w:highlight w:val="none"/>
              </w:rPr>
              <w:t xml:space="preserve">1×DN40</w:t>
            </w:r>
            <w:r/>
          </w:p>
        </w:tc>
        <w:tc>
          <w:tcPr>
            <w:tcW w:w="1624" w:type="pct"/>
            <w:vAlign w:val="top"/>
            <w:textDirection w:val="lrTb"/>
            <w:noWrap w:val="false"/>
          </w:tcPr>
          <w:p>
            <w:pPr>
              <w:jc w:val="center"/>
              <w:spacing w:line="360" w:lineRule="auto"/>
              <w:rPr>
                <w:rFonts w:hint="eastAsia" w:ascii="仿宋" w:hAnsi="仿宋" w:eastAsia="仿宋" w:cs="仿宋"/>
                <w:bCs/>
                <w:sz w:val="21"/>
                <w:szCs w:val="21"/>
                <w:highlight w:val="none"/>
                <w:lang w:val="en-US" w:eastAsia="zh-CN" w:bidi="ar-SA"/>
              </w:rPr>
            </w:pPr>
            <w:r>
              <w:rPr>
                <w:rFonts w:hint="eastAsia" w:ascii="仿宋" w:hAnsi="仿宋" w:eastAsia="仿宋" w:cs="仿宋"/>
                <w:bCs/>
                <w:szCs w:val="21"/>
                <w:highlight w:val="none"/>
              </w:rPr>
              <w:t xml:space="preserve">手动球阀</w:t>
            </w:r>
            <w:r/>
          </w:p>
        </w:tc>
      </w:tr>
    </w:tbl>
    <w:p>
      <w:pPr>
        <w:ind w:left="0" w:right="0" w:firstLine="0"/>
        <w:keepLines w:val="0"/>
        <w:keepNext w:val="0"/>
        <w:pageBreakBefore w:val="0"/>
        <w:spacing w:line="360" w:lineRule="auto"/>
        <w:widowControl w:val="off"/>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1.4  </w:t>
      </w:r>
      <w:r>
        <w:rPr>
          <w:rFonts w:hint="eastAsia" w:ascii="仿宋" w:hAnsi="仿宋" w:eastAsia="仿宋" w:cs="仿宋"/>
          <w:b/>
          <w:sz w:val="24"/>
          <w:szCs w:val="24"/>
          <w:highlight w:val="none"/>
          <w:lang w:val="en-US" w:eastAsia="zh-CN"/>
        </w:rPr>
        <w:t xml:space="preserve">主要结构件</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4</w:t>
      </w: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lang w:val="en-US" w:eastAsia="zh-CN"/>
        </w:rPr>
        <w:t xml:space="preserve">泵室</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采用不低于优质碳钢焊接框架，蒙皮采用铝合金材质，防腐效果好</w:t>
      </w:r>
      <w:r>
        <w:rPr>
          <w:rFonts w:hint="eastAsia" w:ascii="仿宋" w:hAnsi="仿宋" w:eastAsia="仿宋" w:cs="仿宋"/>
          <w:sz w:val="24"/>
          <w:szCs w:val="24"/>
          <w:highlight w:val="none"/>
          <w:lang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1.</w:t>
      </w:r>
      <w:r>
        <w:rPr>
          <w:rFonts w:hint="default"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.2 </w:t>
      </w:r>
      <w:r>
        <w:rPr>
          <w:rFonts w:hint="eastAsia" w:ascii="仿宋" w:hAnsi="仿宋" w:eastAsia="仿宋" w:cs="仿宋"/>
          <w:sz w:val="24"/>
          <w:szCs w:val="24"/>
          <w:highlight w:val="none"/>
          <w:lang w:val="en-US" w:eastAsia="zh-CN"/>
        </w:rPr>
        <w:t xml:space="preserve">翻转踏板</w:t>
      </w:r>
      <w:r>
        <w:rPr>
          <w:rFonts w:hint="eastAsia" w:ascii="仿宋" w:hAnsi="仿宋" w:eastAsia="仿宋" w:cs="仿宋"/>
          <w:sz w:val="24"/>
          <w:szCs w:val="24"/>
          <w:highlight w:val="none"/>
          <w:lang w:eastAsia="zh-CN"/>
        </w:rPr>
        <w:t xml:space="preserve">：优先采用铝合金型材开模制造，表面设有横向防滑凸棱，</w:t>
      </w:r>
      <w:r>
        <w:rPr>
          <w:rFonts w:hint="eastAsia" w:ascii="仿宋" w:hAnsi="仿宋" w:eastAsia="仿宋" w:cs="仿宋"/>
          <w:sz w:val="24"/>
          <w:szCs w:val="24"/>
          <w:highlight w:val="none"/>
          <w:lang w:val="en-US" w:eastAsia="zh-CN"/>
        </w:rPr>
        <w:t xml:space="preserve">承重≥</w:t>
      </w:r>
      <w:r>
        <w:rPr>
          <w:rFonts w:hint="default" w:ascii="仿宋" w:hAnsi="仿宋" w:eastAsia="仿宋" w:cs="仿宋"/>
          <w:sz w:val="24"/>
          <w:szCs w:val="24"/>
          <w:highlight w:val="none"/>
          <w:lang w:val="en-US" w:eastAsia="zh-CN"/>
        </w:rPr>
        <w:t xml:space="preserve">150kg</w:t>
      </w:r>
      <w:r>
        <w:rPr>
          <w:rFonts w:hint="eastAsia" w:ascii="仿宋" w:hAnsi="仿宋" w:eastAsia="仿宋" w:cs="仿宋"/>
          <w:sz w:val="24"/>
          <w:szCs w:val="24"/>
          <w:highlight w:val="none"/>
          <w:lang w:val="en-US" w:eastAsia="zh-CN"/>
        </w:rPr>
        <w:t xml:space="preserve">，采用机械弹簧加锁止销双重锁紧。</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4</w:t>
      </w:r>
      <w:r>
        <w:rPr>
          <w:rFonts w:hint="eastAsia" w:ascii="仿宋" w:hAnsi="仿宋" w:eastAsia="仿宋" w:cs="仿宋"/>
          <w:sz w:val="24"/>
          <w:szCs w:val="24"/>
          <w:highlight w:val="none"/>
        </w:rPr>
        <w:t xml:space="preserve">.4</w:t>
      </w:r>
      <w:r>
        <w:rPr>
          <w:rFonts w:hint="default"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卷帘门：拉杆式快速开启卷帘门。</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4</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 尾部爬梯：车辆后部设置铝合金爬梯，踢蹬防滑设计，方便消防员攀爬到车顶作业</w:t>
      </w:r>
      <w:r>
        <w:rPr>
          <w:rFonts w:hint="eastAsia" w:ascii="仿宋" w:hAnsi="仿宋" w:eastAsia="仿宋" w:cs="仿宋"/>
          <w:sz w:val="24"/>
          <w:szCs w:val="24"/>
          <w:highlight w:val="none"/>
          <w:lang w:eastAsia="zh-CN"/>
        </w:rPr>
        <w:t xml:space="preserve">。</w:t>
      </w:r>
      <w:r/>
    </w:p>
    <w:p>
      <w:pPr>
        <w:ind w:left="0" w:right="0" w:firstLine="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4</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6 </w:t>
      </w:r>
      <w:r>
        <w:rPr>
          <w:rFonts w:hint="eastAsia" w:ascii="仿宋" w:hAnsi="仿宋" w:eastAsia="仿宋" w:cs="仿宋"/>
          <w:sz w:val="24"/>
          <w:szCs w:val="24"/>
          <w:highlight w:val="none"/>
          <w:lang w:val="en-US" w:eastAsia="zh-CN"/>
        </w:rPr>
        <w:t xml:space="preserve">副车架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采用框架式副车架设计技术，整体焊接，强度好，维修空间大，易于维护保养。</w:t>
      </w:r>
      <w:r/>
    </w:p>
    <w:p>
      <w:pPr>
        <w:ind w:left="0" w:right="0" w:firstLine="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w:t>
      </w:r>
      <w:r>
        <w:rPr>
          <w:rFonts w:hint="default" w:ascii="仿宋" w:hAnsi="仿宋" w:eastAsia="仿宋" w:cs="仿宋"/>
          <w:b/>
          <w:sz w:val="24"/>
          <w:szCs w:val="24"/>
          <w:highlight w:val="none"/>
          <w:lang w:val="en-US"/>
        </w:rPr>
        <w:t xml:space="preserve">5</w:t>
      </w:r>
      <w:r>
        <w:rPr>
          <w:rFonts w:hint="eastAsia" w:ascii="仿宋" w:hAnsi="仿宋" w:eastAsia="仿宋" w:cs="仿宋"/>
          <w:b/>
          <w:sz w:val="24"/>
          <w:szCs w:val="24"/>
          <w:highlight w:val="none"/>
        </w:rPr>
        <w:t xml:space="preserve"> 电气系统</w:t>
      </w:r>
      <w:r/>
    </w:p>
    <w:p>
      <w:pPr>
        <w:ind w:left="0" w:right="0" w:firstLine="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.1 </w:t>
      </w:r>
      <w:r>
        <w:rPr>
          <w:rFonts w:hint="eastAsia" w:ascii="仿宋" w:hAnsi="仿宋" w:eastAsia="仿宋" w:cs="仿宋"/>
          <w:bCs/>
          <w:sz w:val="24"/>
          <w:szCs w:val="24"/>
          <w:highlight w:val="none"/>
        </w:rPr>
        <w:t xml:space="preserve">驾驶室内安装警报器及扩音装置，功率：100W。</w:t>
      </w:r>
      <w:r/>
    </w:p>
    <w:p>
      <w:pPr>
        <w:ind w:left="0" w:right="0" w:firstLine="0"/>
        <w:keepLines w:val="0"/>
        <w:keepNext w:val="0"/>
        <w:pageBreakBefore w:val="0"/>
        <w:spacing w:line="360" w:lineRule="auto"/>
        <w:widowControl w:val="off"/>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2</w:t>
      </w:r>
      <w:r>
        <w:rPr>
          <w:rFonts w:hint="eastAsia" w:ascii="仿宋" w:hAnsi="仿宋" w:eastAsia="仿宋" w:cs="仿宋"/>
          <w:sz w:val="24"/>
          <w:szCs w:val="24"/>
          <w:highlight w:val="none"/>
        </w:rPr>
        <w:t xml:space="preserve"> </w:t>
      </w:r>
      <w:r>
        <w:rPr>
          <w:rFonts w:hint="eastAsia" w:ascii="仿宋" w:hAnsi="仿宋" w:eastAsia="仿宋" w:cs="仿宋"/>
          <w:bCs/>
          <w:sz w:val="24"/>
          <w:szCs w:val="24"/>
          <w:highlight w:val="none"/>
          <w:lang w:val="zh-CN"/>
        </w:rPr>
        <w:t xml:space="preserve">驾驶室顶部前端安装长排专用红色频闪警灯；车身两侧装有爆闪警示灯</w:t>
      </w:r>
      <w:r>
        <w:rPr>
          <w:rFonts w:hint="eastAsia" w:ascii="仿宋" w:hAnsi="仿宋" w:eastAsia="仿宋" w:cs="仿宋"/>
          <w:bCs/>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 </w:t>
      </w:r>
      <w:r>
        <w:rPr>
          <w:rFonts w:hint="default" w:ascii="仿宋" w:hAnsi="仿宋" w:eastAsia="仿宋" w:cs="仿宋"/>
          <w:bCs/>
          <w:sz w:val="24"/>
          <w:szCs w:val="24"/>
          <w:highlight w:val="none"/>
          <w:lang w:val="en-US"/>
        </w:rPr>
        <w:t xml:space="preserve">车体装有两侧安全侧标志灯、后示廓灯、黄色转向灯；泵室内均有照明灯；车体侧部及尾部均设有外部照明灯，保障夜间作业</w:t>
      </w:r>
      <w:r>
        <w:rPr>
          <w:rFonts w:hint="eastAsia" w:ascii="仿宋" w:hAnsi="仿宋" w:eastAsia="仿宋" w:cs="仿宋"/>
          <w:bCs/>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lang w:val="en-US"/>
        </w:rPr>
        <w:t xml:space="preserve">4</w:t>
      </w:r>
      <w:r>
        <w:rPr>
          <w:rFonts w:hint="eastAsia" w:ascii="仿宋" w:hAnsi="仿宋" w:eastAsia="仿宋" w:cs="仿宋"/>
          <w:sz w:val="24"/>
          <w:szCs w:val="24"/>
          <w:highlight w:val="none"/>
        </w:rPr>
        <w:t xml:space="preserve"> </w:t>
      </w:r>
      <w:r>
        <w:rPr>
          <w:rFonts w:hint="eastAsia" w:ascii="仿宋" w:hAnsi="仿宋" w:eastAsia="仿宋" w:cs="仿宋"/>
          <w:bCs/>
          <w:sz w:val="24"/>
          <w:szCs w:val="24"/>
          <w:highlight w:val="none"/>
          <w:lang w:val="en-US" w:eastAsia="zh-CN"/>
        </w:rPr>
        <w:t xml:space="preserve">可使用220V市电对蓄电池充电，消防车启动时充电插头自动脱落。</w:t>
      </w:r>
      <w:r/>
    </w:p>
    <w:p>
      <w:pPr>
        <w:ind w:left="0" w:right="0" w:firstLine="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w:t>
      </w:r>
      <w:r>
        <w:rPr>
          <w:rFonts w:hint="default" w:ascii="仿宋" w:hAnsi="仿宋" w:eastAsia="仿宋" w:cs="仿宋"/>
          <w:b/>
          <w:sz w:val="24"/>
          <w:szCs w:val="24"/>
          <w:highlight w:val="none"/>
          <w:lang w:val="en-US"/>
        </w:rPr>
        <w:t xml:space="preserve">6</w:t>
      </w:r>
      <w:r>
        <w:rPr>
          <w:rFonts w:hint="eastAsia" w:ascii="仿宋" w:hAnsi="仿宋" w:eastAsia="仿宋" w:cs="仿宋"/>
          <w:b/>
          <w:sz w:val="24"/>
          <w:szCs w:val="24"/>
          <w:highlight w:val="none"/>
        </w:rPr>
        <w:t xml:space="preserve"> 车辆外观</w:t>
      </w:r>
      <w:r/>
    </w:p>
    <w:p>
      <w:pPr>
        <w:ind w:left="0" w:right="0" w:firstLine="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6</w:t>
      </w: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 </w:t>
      </w:r>
      <w:r>
        <w:rPr>
          <w:rFonts w:hint="eastAsia" w:ascii="仿宋" w:hAnsi="仿宋" w:eastAsia="仿宋" w:cs="仿宋"/>
          <w:bCs/>
          <w:sz w:val="24"/>
          <w:szCs w:val="24"/>
          <w:highlight w:val="none"/>
        </w:rPr>
        <w:t xml:space="preserve">梯蹬、车顶表面采用防滑材质；</w:t>
      </w:r>
      <w:r/>
    </w:p>
    <w:p>
      <w:pPr>
        <w:ind w:left="0" w:right="0"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default" w:ascii="仿宋" w:hAnsi="仿宋" w:eastAsia="仿宋" w:cs="仿宋"/>
          <w:sz w:val="24"/>
          <w:szCs w:val="24"/>
          <w:highlight w:val="none"/>
          <w:lang w:val="en-US"/>
        </w:rPr>
        <w:t xml:space="preserve">6</w:t>
      </w:r>
      <w:r>
        <w:rPr>
          <w:rFonts w:hint="eastAsia" w:ascii="仿宋" w:hAnsi="仿宋" w:eastAsia="仿宋" w:cs="仿宋"/>
          <w:sz w:val="24"/>
          <w:szCs w:val="24"/>
          <w:highlight w:val="none"/>
        </w:rPr>
        <w:t xml:space="preserve">.</w:t>
      </w:r>
      <w:r>
        <w:rPr>
          <w:rFonts w:hint="default" w:ascii="仿宋" w:hAnsi="仿宋" w:eastAsia="仿宋" w:cs="仿宋"/>
          <w:bCs/>
          <w:sz w:val="24"/>
          <w:szCs w:val="24"/>
          <w:highlight w:val="none"/>
          <w:lang w:val="en-US"/>
        </w:rPr>
        <w:t xml:space="preserve">2 </w:t>
      </w:r>
      <w:r>
        <w:rPr>
          <w:rFonts w:hint="eastAsia" w:ascii="仿宋" w:hAnsi="仿宋" w:eastAsia="仿宋" w:cs="仿宋"/>
          <w:bCs/>
          <w:sz w:val="24"/>
          <w:szCs w:val="24"/>
          <w:highlight w:val="none"/>
        </w:rPr>
        <w:t xml:space="preserve">车身周围加贴反光标志条。</w:t>
      </w:r>
      <w:r/>
    </w:p>
    <w:p>
      <w:pPr>
        <w:ind w:left="0"/>
        <w:pageBreakBefore w:val="0"/>
        <w:spacing w:line="360" w:lineRule="auto"/>
        <w:widowControl w:val="off"/>
        <w:rPr>
          <w:rFonts w:hint="eastAsia"/>
          <w:highlight w:val="none"/>
          <w:lang w:val="en-US" w:eastAsia="zh-CN"/>
        </w:rPr>
      </w:pPr>
      <w:r>
        <w:rPr>
          <w:rFonts w:hint="default" w:ascii="仿宋" w:hAnsi="仿宋" w:eastAsia="仿宋" w:cs="仿宋"/>
          <w:b/>
          <w:bCs/>
          <w:sz w:val="24"/>
          <w:szCs w:val="24"/>
          <w:highlight w:val="none"/>
          <w:lang w:val="en-US"/>
        </w:rPr>
        <w:t xml:space="preserve">1.7 </w:t>
      </w:r>
      <w:r>
        <w:rPr>
          <w:rFonts w:hint="eastAsia" w:ascii="仿宋" w:hAnsi="仿宋" w:eastAsia="仿宋" w:cs="仿宋"/>
          <w:b/>
          <w:bCs/>
          <w:sz w:val="24"/>
          <w:szCs w:val="24"/>
          <w:highlight w:val="none"/>
          <w:lang w:val="en-US" w:eastAsia="zh-CN"/>
        </w:rPr>
        <w:t xml:space="preserve">随车器材</w:t>
      </w:r>
      <w:r/>
    </w:p>
    <w:tbl>
      <w:tblPr>
        <w:tblStyle w:val="67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0"/>
        <w:gridCol w:w="4851"/>
        <w:gridCol w:w="881"/>
        <w:gridCol w:w="895"/>
        <w:gridCol w:w="2419"/>
      </w:tblGrid>
      <w:tr>
        <w:trPr>
          <w:jc w:val="center"/>
          <w:trHeight w:val="370"/>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序号</w:t>
            </w:r>
            <w:r/>
          </w:p>
        </w:tc>
        <w:tc>
          <w:tcPr>
            <w:shd w:val="clear" w:color="auto" w:fill="auto"/>
            <w:tcW w:w="2435"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名称规格与型号</w:t>
            </w:r>
            <w:r/>
          </w:p>
        </w:tc>
        <w:tc>
          <w:tcPr>
            <w:shd w:val="clear" w:color="auto" w:fill="auto"/>
            <w:tcW w:w="442"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单位</w:t>
            </w:r>
            <w:r/>
          </w:p>
        </w:tc>
        <w:tc>
          <w:tcPr>
            <w:shd w:val="clear" w:color="auto" w:fill="auto"/>
            <w:tcW w:w="449"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数量</w:t>
            </w:r>
            <w:r/>
          </w:p>
        </w:tc>
        <w:tc>
          <w:tcPr>
            <w:shd w:val="clear" w:color="auto" w:fill="auto"/>
            <w:tcW w:w="1214"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备  注</w:t>
            </w:r>
            <w:r/>
          </w:p>
        </w:tc>
      </w:tr>
      <w:tr>
        <w:trPr>
          <w:cantSplit/>
          <w:jc w:val="center"/>
          <w:trHeight w:val="673"/>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卡式消防水带 </w:t>
            </w:r>
            <w:r>
              <w:rPr>
                <w:rFonts w:ascii="仿宋" w:hAnsi="仿宋" w:eastAsia="仿宋" w:cs="仿宋"/>
                <w:szCs w:val="21"/>
                <w:highlight w:val="none"/>
              </w:rPr>
              <w:t xml:space="preserve">16</w:t>
            </w:r>
            <w:r>
              <w:rPr>
                <w:rFonts w:hint="eastAsia" w:ascii="仿宋" w:hAnsi="仿宋" w:eastAsia="仿宋" w:cs="仿宋"/>
                <w:szCs w:val="21"/>
                <w:highlight w:val="none"/>
              </w:rPr>
              <w:t xml:space="preserve">-80-20</w:t>
            </w:r>
            <w:r/>
          </w:p>
        </w:tc>
        <w:tc>
          <w:tcPr>
            <w:shd w:val="clear" w:color="auto" w:fill="auto"/>
            <w:tcW w:w="442"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卷</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8</w:t>
            </w:r>
            <w:r/>
          </w:p>
        </w:tc>
        <w:tc>
          <w:tcPr>
            <w:shd w:val="clear" w:color="auto" w:fill="auto"/>
            <w:tcW w:w="1214" w:type="pct"/>
            <w:vAlign w:val="center"/>
            <w:textDirection w:val="lrTb"/>
            <w:noWrap w:val="false"/>
          </w:tcPr>
          <w:p>
            <w:pPr>
              <w:pStyle w:val="710"/>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2</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t xml:space="preserve">16</w:t>
            </w:r>
            <w:r>
              <w:rPr>
                <w:rFonts w:hint="eastAsia" w:ascii="仿宋" w:hAnsi="仿宋" w:eastAsia="仿宋" w:cs="仿宋"/>
                <w:szCs w:val="21"/>
                <w:highlight w:val="none"/>
              </w:rPr>
              <w:t xml:space="preserve">-65-20 卡式消防水带</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卷</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8</w:t>
            </w:r>
            <w:r/>
          </w:p>
        </w:tc>
        <w:tc>
          <w:tcPr>
            <w:shd w:val="clear" w:color="auto" w:fill="auto"/>
            <w:tcW w:w="1214" w:type="pct"/>
            <w:vAlign w:val="center"/>
            <w:textDirection w:val="lrTb"/>
            <w:noWrap w:val="false"/>
          </w:tcPr>
          <w:p>
            <w:pPr>
              <w:pStyle w:val="710"/>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3</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直流开关水枪 QZG3.5/7.5</w:t>
            </w:r>
            <w:r/>
          </w:p>
        </w:tc>
        <w:tc>
          <w:tcPr>
            <w:shd w:val="clear" w:color="auto" w:fill="auto"/>
            <w:tcW w:w="442"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auto"/>
            <w:tcW w:w="1214" w:type="pct"/>
            <w:vAlign w:val="center"/>
            <w:textDirection w:val="lrTb"/>
            <w:noWrap w:val="false"/>
          </w:tcPr>
          <w:p>
            <w:pPr>
              <w:pStyle w:val="710"/>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4</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导流式直流喷雾水枪 QLD6.0/8I</w:t>
            </w:r>
            <w:r/>
          </w:p>
        </w:tc>
        <w:tc>
          <w:tcPr>
            <w:shd w:val="clear" w:color="auto" w:fill="auto"/>
            <w:tcW w:w="442"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auto"/>
            <w:tcW w:w="1214" w:type="pct"/>
            <w:vAlign w:val="center"/>
            <w:textDirection w:val="lrTb"/>
            <w:noWrap w:val="false"/>
          </w:tcPr>
          <w:p>
            <w:pPr>
              <w:pStyle w:val="710"/>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5</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KXK65(内扣)/80(雌) 异型接口</w:t>
            </w:r>
            <w:r/>
          </w:p>
        </w:tc>
        <w:tc>
          <w:tcPr>
            <w:shd w:val="clear" w:color="auto" w:fill="auto"/>
            <w:tcW w:w="442"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auto"/>
            <w:tcW w:w="1214" w:type="pct"/>
            <w:vAlign w:val="center"/>
            <w:textDirection w:val="lrTb"/>
            <w:noWrap w:val="false"/>
          </w:tcPr>
          <w:p>
            <w:pPr>
              <w:pStyle w:val="710"/>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6</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KJK80(雄)/65(雌) 中压卡式异径接口</w:t>
            </w:r>
            <w:r/>
          </w:p>
        </w:tc>
        <w:tc>
          <w:tcPr>
            <w:shd w:val="clear" w:color="auto" w:fill="auto"/>
            <w:tcW w:w="442"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4</w:t>
            </w:r>
            <w:r/>
          </w:p>
        </w:tc>
        <w:tc>
          <w:tcPr>
            <w:shd w:val="clear" w:color="auto" w:fill="auto"/>
            <w:tcW w:w="1214" w:type="pct"/>
            <w:vAlign w:val="center"/>
            <w:textDirection w:val="lrTb"/>
            <w:noWrap w:val="false"/>
          </w:tcPr>
          <w:p>
            <w:pPr>
              <w:pStyle w:val="710"/>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370"/>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7</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FJ150雄/80雄×2-1.6 二集水器</w:t>
            </w:r>
            <w:r/>
          </w:p>
        </w:tc>
        <w:tc>
          <w:tcPr>
            <w:shd w:val="clear" w:color="auto" w:fill="auto"/>
            <w:tcW w:w="442"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jc w:val="left"/>
              <w:spacing w:line="360" w:lineRule="auto"/>
              <w:rPr>
                <w:rFonts w:ascii="仿宋" w:hAnsi="仿宋" w:eastAsia="仿宋" w:cs="仿宋"/>
                <w:szCs w:val="21"/>
                <w:highlight w:val="none"/>
              </w:rPr>
            </w:pPr>
            <w:r>
              <w:rPr>
                <w:rFonts w:ascii="仿宋" w:hAnsi="仿宋" w:eastAsia="仿宋" w:cs="仿宋"/>
                <w:szCs w:val="21"/>
                <w:highlight w:val="none"/>
              </w:rPr>
            </w:r>
            <w:r/>
          </w:p>
        </w:tc>
      </w:tr>
      <w:tr>
        <w:trPr>
          <w:cantSplit/>
          <w:jc w:val="center"/>
          <w:trHeight w:val="370"/>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8</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FIII80雄/65雌×3-2.5 三分水器</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auto"/>
            <w:tcW w:w="1214" w:type="pct"/>
            <w:vAlign w:val="center"/>
            <w:textDirection w:val="lrTb"/>
            <w:noWrap w:val="false"/>
          </w:tcPr>
          <w:p>
            <w:pPr>
              <w:jc w:val="left"/>
              <w:spacing w:line="360" w:lineRule="auto"/>
              <w:rPr>
                <w:rFonts w:ascii="仿宋" w:hAnsi="仿宋" w:eastAsia="仿宋" w:cs="仿宋"/>
                <w:szCs w:val="21"/>
                <w:highlight w:val="none"/>
              </w:rPr>
            </w:pPr>
            <w:r>
              <w:rPr>
                <w:rFonts w:ascii="仿宋" w:hAnsi="仿宋" w:eastAsia="仿宋" w:cs="仿宋"/>
                <w:szCs w:val="21"/>
                <w:highlight w:val="none"/>
              </w:rPr>
            </w:r>
            <w:r/>
          </w:p>
        </w:tc>
      </w:tr>
      <w:tr>
        <w:trPr>
          <w:cantSplit/>
          <w:jc w:val="center"/>
          <w:trHeight w:val="370"/>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9</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吸水管扳手 FS150</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auto"/>
            <w:tcW w:w="1214" w:type="pct"/>
            <w:vAlign w:val="center"/>
            <w:textDirection w:val="lrTb"/>
            <w:noWrap w:val="false"/>
          </w:tcPr>
          <w:p>
            <w:pPr>
              <w:jc w:val="left"/>
              <w:spacing w:line="360" w:lineRule="auto"/>
              <w:rPr>
                <w:rFonts w:ascii="仿宋" w:hAnsi="仿宋" w:eastAsia="仿宋" w:cs="仿宋"/>
                <w:szCs w:val="21"/>
                <w:highlight w:val="none"/>
              </w:rPr>
            </w:pPr>
            <w:r>
              <w:rPr>
                <w:rFonts w:ascii="仿宋" w:hAnsi="仿宋" w:eastAsia="仿宋" w:cs="仿宋"/>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10</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勾头扳手 78-85</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11</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橡皮锤JFRC-12</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12</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地上消防栓扳手 FS450</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13</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地下消防栓扳手 FBX800</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14</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干粉灭火器 8kg</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15</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水带护桥</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16</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水带包布</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8</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17</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水带挂钩</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8</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18</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消防尖斧GFJ815</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把</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19</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可充电式手提照明灯</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个</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20</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φ150×2000 吸水管</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根</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4</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21</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φ</w:t>
            </w:r>
            <w:r>
              <w:rPr>
                <w:rFonts w:ascii="仿宋" w:hAnsi="仿宋" w:eastAsia="仿宋" w:cs="仿宋"/>
                <w:szCs w:val="21"/>
                <w:highlight w:val="none"/>
              </w:rPr>
              <w:t xml:space="preserve">150</w:t>
            </w:r>
            <w:r>
              <w:rPr>
                <w:rFonts w:hint="eastAsia" w:ascii="仿宋" w:hAnsi="仿宋" w:eastAsia="仿宋" w:cs="仿宋"/>
                <w:szCs w:val="21"/>
                <w:highlight w:val="none"/>
              </w:rPr>
              <w:t xml:space="preserve">快插滤水器总成</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22</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150 雄螺环</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23</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内六角扳手3-17</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套</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24</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活扳手 6寸</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25</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活扳手 12寸</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26</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一字形螺丝刀 150×</w:t>
            </w:r>
            <w:r>
              <w:rPr>
                <w:rFonts w:ascii="仿宋" w:hAnsi="仿宋" w:eastAsia="仿宋" w:cs="仿宋"/>
                <w:szCs w:val="21"/>
                <w:highlight w:val="none"/>
              </w:rPr>
              <w:t xml:space="preserve">6</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12"/>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27</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十字形螺丝刀 150×</w:t>
            </w:r>
            <w:r>
              <w:rPr>
                <w:rFonts w:ascii="仿宋" w:hAnsi="仿宋" w:eastAsia="仿宋" w:cs="仿宋"/>
                <w:szCs w:val="21"/>
                <w:highlight w:val="none"/>
              </w:rPr>
              <w:t xml:space="preserve">6</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r>
        <w:trPr>
          <w:cantSplit/>
          <w:jc w:val="center"/>
          <w:trHeight w:val="821"/>
        </w:trPr>
        <w:tc>
          <w:tcPr>
            <w:shd w:val="clear" w:color="auto" w:fill="auto"/>
            <w:tcW w:w="457" w:type="pct"/>
            <w:vAlign w:val="center"/>
            <w:textDirection w:val="lrTb"/>
            <w:noWrap w:val="false"/>
          </w:tcPr>
          <w:p>
            <w:pPr>
              <w:jc w:val="cente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 xml:space="preserve">28</w:t>
            </w:r>
            <w:r/>
          </w:p>
        </w:tc>
        <w:tc>
          <w:tcPr>
            <w:shd w:val="clear" w:color="auto" w:fill="auto"/>
            <w:tcW w:w="2435"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鲤鱼钳 8寸</w:t>
            </w:r>
            <w:r/>
          </w:p>
        </w:tc>
        <w:tc>
          <w:tcPr>
            <w:shd w:val="clear" w:color="auto" w:fill="auto"/>
            <w:tcW w:w="442" w:type="pct"/>
            <w:vAlign w:val="center"/>
            <w:textDirection w:val="lrTb"/>
            <w:noWrap w:val="false"/>
          </w:tcPr>
          <w:p>
            <w:pPr>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件</w:t>
            </w:r>
            <w:r/>
          </w:p>
        </w:tc>
        <w:tc>
          <w:tcPr>
            <w:shd w:val="clear" w:color="auto" w:fill="auto"/>
            <w:tcW w:w="449" w:type="pct"/>
            <w:vAlign w:val="center"/>
            <w:textDirection w:val="lrTb"/>
            <w:noWrap w:val="false"/>
          </w:tcPr>
          <w:p>
            <w:pPr>
              <w:jc w:val="center"/>
              <w:spacing w:line="360" w:lineRule="auto"/>
              <w:rPr>
                <w:rFonts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auto"/>
            <w:tcW w:w="1214" w:type="pct"/>
            <w:vAlign w:val="center"/>
            <w:textDirection w:val="lrTb"/>
            <w:noWrap w:val="false"/>
          </w:tcPr>
          <w:p>
            <w:pPr>
              <w:pStyle w:val="710"/>
              <w:jc w:val="left"/>
              <w:spacing w:line="360" w:lineRule="auto"/>
              <w:rPr>
                <w:rFonts w:ascii="仿宋" w:hAnsi="仿宋" w:eastAsia="仿宋" w:cs="仿宋"/>
                <w:sz w:val="21"/>
                <w:szCs w:val="21"/>
                <w:highlight w:val="none"/>
              </w:rPr>
            </w:pPr>
            <w:r>
              <w:rPr>
                <w:rFonts w:ascii="仿宋" w:hAnsi="仿宋" w:eastAsia="仿宋" w:cs="仿宋"/>
                <w:sz w:val="21"/>
                <w:szCs w:val="21"/>
                <w:highlight w:val="none"/>
              </w:rPr>
            </w:r>
            <w:r/>
          </w:p>
        </w:tc>
      </w:tr>
    </w:tbl>
    <w:p>
      <w:pPr>
        <w:rPr>
          <w:highlight w:val="none"/>
        </w:rPr>
      </w:pPr>
      <w:r>
        <w:rPr>
          <w:highlight w:val="none"/>
        </w:rPr>
      </w:r>
      <w:r/>
    </w:p>
    <w:p>
      <w:pPr>
        <w:spacing w:line="360" w:lineRule="auto"/>
        <w:rPr>
          <w:rFonts w:hint="eastAsia"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r>
      <w:r/>
    </w:p>
    <w:p>
      <w:pPr>
        <w:spacing w:line="360" w:lineRule="auto"/>
        <w:rPr>
          <w:rFonts w:ascii="宋体" w:hAnsi="宋体" w:cs="宋体"/>
          <w:b/>
          <w:color w:val="auto"/>
          <w:sz w:val="24"/>
          <w:szCs w:val="24"/>
          <w:highlight w:val="none"/>
          <w:shd w:val="clear" w:color="auto" w:fill="auto"/>
          <w:lang w:val="zh-CN"/>
        </w:rPr>
      </w:pPr>
      <w:r>
        <w:rPr>
          <w:rFonts w:hint="eastAsia" w:ascii="宋体" w:hAnsi="宋体" w:cs="宋体"/>
          <w:b/>
          <w:color w:val="auto"/>
          <w:sz w:val="24"/>
          <w:szCs w:val="24"/>
          <w:highlight w:val="none"/>
          <w:shd w:val="clear" w:color="auto" w:fill="auto"/>
        </w:rPr>
        <w:t xml:space="preserve">五</w:t>
      </w:r>
      <w:r>
        <w:rPr>
          <w:rFonts w:hint="eastAsia" w:ascii="宋体" w:hAnsi="宋体" w:cs="宋体"/>
          <w:b/>
          <w:color w:val="auto"/>
          <w:sz w:val="24"/>
          <w:szCs w:val="24"/>
          <w:highlight w:val="none"/>
          <w:shd w:val="clear" w:color="auto" w:fill="auto"/>
          <w:lang w:val="zh-CN"/>
        </w:rPr>
        <w:t xml:space="preserve">、项目实施要求</w:t>
      </w:r>
      <w:r/>
    </w:p>
    <w:p>
      <w:pPr>
        <w:ind w:firstLine="48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rPr>
        <w:t xml:space="preserve">1、交货地点：</w:t>
      </w:r>
      <w:r>
        <w:rPr>
          <w:rFonts w:hint="eastAsia" w:ascii="宋体" w:hAnsi="宋体" w:cs="宋体"/>
          <w:color w:val="auto"/>
          <w:sz w:val="24"/>
          <w:szCs w:val="24"/>
          <w:highlight w:val="none"/>
          <w:shd w:val="clear" w:color="auto" w:fill="auto"/>
          <w:lang w:val="en-US" w:eastAsia="zh-CN"/>
        </w:rPr>
        <w:t xml:space="preserve">采购人</w:t>
      </w:r>
      <w:r>
        <w:rPr>
          <w:rFonts w:hint="eastAsia" w:ascii="宋体" w:hAnsi="宋体" w:cs="宋体"/>
          <w:color w:val="auto"/>
          <w:sz w:val="24"/>
          <w:szCs w:val="24"/>
          <w:highlight w:val="none"/>
          <w:shd w:val="clear" w:color="auto" w:fill="auto"/>
        </w:rPr>
        <w:t xml:space="preserve">指定地点</w:t>
      </w:r>
      <w:r>
        <w:rPr>
          <w:rFonts w:hint="eastAsia" w:ascii="宋体" w:hAnsi="宋体" w:cs="宋体"/>
          <w:color w:val="auto"/>
          <w:sz w:val="24"/>
          <w:szCs w:val="24"/>
          <w:highlight w:val="none"/>
          <w:shd w:val="clear" w:color="auto" w:fill="auto"/>
          <w:lang w:val="en-US" w:eastAsia="zh-CN"/>
        </w:rPr>
        <w:t xml:space="preserve">.</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w:t>
      </w:r>
      <w:r>
        <w:rPr>
          <w:rFonts w:hint="eastAsia" w:ascii="宋体" w:hAnsi="宋体" w:cs="宋体"/>
          <w:color w:val="auto"/>
          <w:sz w:val="24"/>
          <w:szCs w:val="24"/>
          <w:highlight w:val="none"/>
          <w:shd w:val="clear" w:color="auto" w:fill="auto"/>
          <w:lang w:val="en-US" w:eastAsia="zh-CN"/>
        </w:rPr>
        <w:t xml:space="preserve">供货</w:t>
      </w:r>
      <w:r>
        <w:rPr>
          <w:rFonts w:hint="eastAsia" w:ascii="宋体" w:hAnsi="宋体" w:cs="宋体"/>
          <w:color w:val="auto"/>
          <w:sz w:val="24"/>
          <w:szCs w:val="24"/>
          <w:highlight w:val="none"/>
          <w:shd w:val="clear" w:color="auto" w:fill="auto"/>
        </w:rPr>
        <w:t xml:space="preserve">时间：合同签订之日起</w:t>
      </w:r>
      <w:r>
        <w:rPr>
          <w:rFonts w:hint="eastAsia" w:ascii="宋体" w:hAnsi="宋体" w:cs="宋体"/>
          <w:color w:val="auto"/>
          <w:sz w:val="24"/>
          <w:szCs w:val="24"/>
          <w:highlight w:val="none"/>
          <w:u w:val="single"/>
          <w:shd w:val="clear" w:color="auto" w:fill="auto"/>
          <w:lang w:val="en-US" w:eastAsia="zh-CN"/>
        </w:rPr>
        <w:t xml:space="preserve"> 30 </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shd w:val="clear" w:color="auto" w:fill="auto"/>
        </w:rPr>
        <w:t xml:space="preserve">日内交货并调试完毕。</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3、中标人应向采购人提供全方位、及时而有效的技术支持和服务。</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4、中标人负责供货、安装、调试、培训。</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5、交车时需提供车辆上牌手续及车辆使用说明书。</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6、中标人应缴纳车辆购置税的费用，并协助采购人办理车辆上牌手续。</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7</w:t>
      </w:r>
      <w:r>
        <w:rPr>
          <w:rFonts w:hint="eastAsia" w:ascii="宋体" w:hAnsi="宋体" w:cs="宋体"/>
          <w:color w:val="auto"/>
          <w:sz w:val="24"/>
          <w:szCs w:val="24"/>
          <w:highlight w:val="none"/>
          <w:shd w:val="clear" w:color="auto" w:fill="auto"/>
        </w:rPr>
        <w:t xml:space="preserve">、货物的生产、安装、维修、检验、验收等按照以下原则执行：</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有国家标准的执行国家标准；无国家标准的执行行业标准；无行业标准的执行地方标准；无地方标准的执行企业标准。</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cs="宋体"/>
          <w:color w:val="auto"/>
          <w:sz w:val="24"/>
          <w:szCs w:val="24"/>
          <w:highlight w:val="none"/>
          <w:shd w:val="clear" w:color="auto" w:fill="auto"/>
        </w:rPr>
        <w:t xml:space="preserve">、所有货物（包括零部件）须为全新的、未使用过的原装正品，并完全符合国家质量标准，提供厂家出具的合格证书、有国家强制性认证要求的产品须提供3C证书，货物的技术参数及配置情况必须由供应商提供国家相关检测机构出具的检验报告、生产厂家公开发布的印刷资料等技术资料予以支持。没有技术资料支持的技术参数及配置不能视为响应。</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9</w:t>
      </w:r>
      <w:r>
        <w:rPr>
          <w:rFonts w:hint="eastAsia" w:ascii="宋体" w:hAnsi="宋体" w:cs="宋体"/>
          <w:color w:val="auto"/>
          <w:sz w:val="24"/>
          <w:szCs w:val="24"/>
          <w:highlight w:val="none"/>
          <w:shd w:val="clear" w:color="auto" w:fill="auto"/>
        </w:rPr>
        <w:t xml:space="preserve">、验收</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（2）货物送到项目实施现场后，中标人与采购人一起按合同货物清单依合同标准进行货物验收。货物在验收时，投标人应提供发票、制造厂家出具的产品合格证书、装箱清单等,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投标人提供的必要文件。</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验收中发现货物达不到验收标准或合同规定的性能指标，中标人必须更换，并且赔偿由此给采购人造成的损失。</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验收时需提交的书面文件</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①</w:t>
      </w:r>
      <w:r>
        <w:rPr>
          <w:rFonts w:hint="eastAsia" w:ascii="宋体" w:hAnsi="宋体" w:eastAsia="宋体" w:cs="宋体"/>
          <w:color w:val="auto"/>
          <w:sz w:val="24"/>
          <w:szCs w:val="24"/>
          <w:highlight w:val="none"/>
          <w:shd w:val="clear" w:color="auto" w:fill="auto"/>
        </w:rPr>
        <w:t xml:space="preserve">采购标的的所有检测报告及证明文件复印件并加盖公章。</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②</w:t>
      </w:r>
      <w:r>
        <w:rPr>
          <w:rFonts w:hint="eastAsia" w:ascii="宋体" w:hAnsi="宋体" w:eastAsia="宋体" w:cs="宋体"/>
          <w:color w:val="auto"/>
          <w:sz w:val="24"/>
          <w:szCs w:val="24"/>
          <w:highlight w:val="none"/>
          <w:shd w:val="clear" w:color="auto" w:fill="auto"/>
        </w:rPr>
        <w:t xml:space="preserve">所有标的合格证明文件；</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③</w:t>
      </w:r>
      <w:r>
        <w:rPr>
          <w:rFonts w:hint="eastAsia" w:ascii="宋体" w:hAnsi="宋体" w:eastAsia="宋体" w:cs="宋体"/>
          <w:color w:val="auto"/>
          <w:sz w:val="24"/>
          <w:szCs w:val="24"/>
          <w:highlight w:val="none"/>
          <w:shd w:val="clear" w:color="auto" w:fill="auto"/>
        </w:rPr>
        <w:t xml:space="preserve">保修卡或保修手册；</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④车辆上牌手续及</w:t>
      </w:r>
      <w:r>
        <w:rPr>
          <w:rFonts w:hint="eastAsia" w:ascii="宋体" w:hAnsi="宋体" w:eastAsia="宋体" w:cs="宋体"/>
          <w:color w:val="auto"/>
          <w:sz w:val="24"/>
          <w:szCs w:val="24"/>
          <w:highlight w:val="none"/>
          <w:shd w:val="clear" w:color="auto" w:fill="auto"/>
        </w:rPr>
        <w:t xml:space="preserve">使用说明手册（中文）；</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⑤</w:t>
      </w:r>
      <w:r>
        <w:rPr>
          <w:rFonts w:hint="eastAsia" w:ascii="宋体" w:hAnsi="宋体" w:eastAsia="宋体" w:cs="宋体"/>
          <w:color w:val="auto"/>
          <w:sz w:val="24"/>
          <w:szCs w:val="24"/>
          <w:highlight w:val="none"/>
          <w:shd w:val="clear" w:color="auto" w:fill="auto"/>
        </w:rPr>
        <w:t xml:space="preserve">设备配置详单。</w:t>
      </w:r>
      <w:r/>
    </w:p>
    <w:p>
      <w:pPr>
        <w:jc w:val="left"/>
        <w:spacing w:line="360" w:lineRule="auto"/>
        <w:rPr>
          <w:rFonts w:hint="eastAsia" w:ascii="宋体" w:hAnsi="宋体" w:cs="宋体"/>
          <w:color w:val="auto"/>
          <w:sz w:val="24"/>
          <w:szCs w:val="24"/>
          <w:highlight w:val="none"/>
          <w:shd w:val="clear" w:color="auto" w:fill="auto"/>
        </w:rPr>
      </w:pPr>
      <w:r>
        <w:rPr>
          <w:rFonts w:hint="eastAsia" w:ascii="宋体" w:hAnsi="宋体" w:cs="宋体"/>
          <w:b/>
          <w:color w:val="auto"/>
          <w:sz w:val="24"/>
          <w:highlight w:val="none"/>
          <w:shd w:val="clear" w:color="auto" w:fill="auto"/>
        </w:rPr>
        <w:t xml:space="preserve">六</w:t>
      </w:r>
      <w:r>
        <w:rPr>
          <w:rFonts w:hint="eastAsia" w:ascii="宋体" w:hAnsi="宋体" w:cs="宋体"/>
          <w:b/>
          <w:color w:val="auto"/>
          <w:sz w:val="24"/>
          <w:highlight w:val="none"/>
          <w:shd w:val="clear" w:color="auto" w:fill="auto"/>
          <w:lang w:val="zh-CN" w:eastAsia="zh-Hans"/>
        </w:rPr>
        <w:t xml:space="preserve">、售后服务及质保要求</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1、中标人须提供至少</w:t>
      </w:r>
      <w:r>
        <w:rPr>
          <w:rFonts w:hint="eastAsia" w:ascii="宋体" w:hAnsi="宋体" w:cs="宋体"/>
          <w:color w:val="auto"/>
          <w:sz w:val="24"/>
          <w:szCs w:val="24"/>
          <w:highlight w:val="none"/>
          <w:u w:val="single"/>
          <w:shd w:val="clear" w:color="auto" w:fill="auto"/>
          <w:lang w:val="en-US" w:eastAsia="zh-CN"/>
        </w:rPr>
        <w:t xml:space="preserve">1</w:t>
      </w:r>
      <w:r>
        <w:rPr>
          <w:rFonts w:hint="eastAsia" w:ascii="宋体" w:hAnsi="宋体" w:cs="宋体"/>
          <w:color w:val="auto"/>
          <w:sz w:val="24"/>
          <w:szCs w:val="24"/>
          <w:highlight w:val="none"/>
          <w:shd w:val="clear" w:color="auto" w:fill="auto"/>
        </w:rPr>
        <w:t xml:space="preserve">年免费质保服务。在保修期内，一旦发生质量问题，供应商保证在接到通知1小时响应，24小时内必须上门或者出具详细的解决方案。质保期后，供应商提供终生技术服务，保证零配件的供给。</w:t>
      </w:r>
      <w:r/>
    </w:p>
    <w:p>
      <w:pPr>
        <w:ind w:firstLine="480"/>
        <w:jc w:val="left"/>
        <w:spacing w:line="348" w:lineRule="auto"/>
        <w:rPr>
          <w:rFonts w:ascii="宋体" w:hAnsi="宋体" w:cs="宋体"/>
          <w:bCs/>
          <w:color w:val="auto"/>
          <w:sz w:val="24"/>
          <w:highlight w:val="none"/>
          <w:shd w:val="clear" w:color="auto" w:fill="auto"/>
          <w:lang w:val="zh-CN" w:eastAsia="zh-Hans"/>
        </w:rPr>
      </w:pPr>
      <w:r>
        <w:rPr>
          <w:rFonts w:hint="eastAsia" w:ascii="宋体" w:hAnsi="宋体" w:cs="宋体"/>
          <w:bCs/>
          <w:color w:val="auto"/>
          <w:sz w:val="24"/>
          <w:highlight w:val="none"/>
          <w:shd w:val="clear" w:color="auto" w:fill="auto"/>
          <w:lang w:val="zh-CN" w:eastAsia="zh-Hans"/>
        </w:rPr>
        <w:t xml:space="preserve">2、所有质保费用均已包含在投标报价中，质保期满后，应提供优先的有偿售后服务及按不高于投标文件中主要配件、易损件清单所报价格供应原厂零配件等。</w:t>
      </w:r>
      <w:r/>
    </w:p>
    <w:p>
      <w:pPr>
        <w:ind w:firstLine="480"/>
        <w:spacing w:line="360" w:lineRule="auto"/>
        <w:rPr>
          <w:rFonts w:hint="eastAsia" w:ascii="宋体" w:hAnsi="宋体" w:eastAsia="宋体" w:cs="宋体"/>
          <w:sz w:val="24"/>
          <w:highlight w:val="none"/>
        </w:rPr>
      </w:pPr>
      <w:r>
        <w:rPr>
          <w:rFonts w:hint="eastAsia" w:ascii="宋体" w:hAnsi="宋体" w:cs="宋体"/>
          <w:bCs/>
          <w:color w:val="auto"/>
          <w:sz w:val="24"/>
          <w:highlight w:val="none"/>
          <w:shd w:val="clear" w:color="auto" w:fill="auto"/>
          <w:lang w:val="zh-CN" w:eastAsia="zh-Hans"/>
        </w:rPr>
        <w:t xml:space="preserve">3、中标人须设有维修服务电话，</w:t>
      </w:r>
      <w:r>
        <w:rPr>
          <w:rFonts w:hint="eastAsia" w:ascii="宋体" w:hAnsi="宋体" w:eastAsia="宋体" w:cs="宋体"/>
          <w:sz w:val="24"/>
          <w:highlight w:val="none"/>
        </w:rPr>
        <w:t xml:space="preserve">质保期内出现质量问题，供应商在接到通知后2小时内响应到场，完成维修或更换，并承担修理调换的费用；如货物经供应商3次维修仍不能达到本项目要求的质量标准，采购人有权退货并追究供应商的违约责任。未经使用人同意，维修维护使用的备品备件及易损件，不得为非原厂件。</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采购人有权对供应商所供货物送检，如果不符合采购文件要求，供应商须承担相关费用和责任。</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en-US" w:eastAsia="zh-CN"/>
        </w:rPr>
        <w:t xml:space="preserve">5、</w:t>
      </w:r>
      <w:r>
        <w:rPr>
          <w:rFonts w:hint="eastAsia" w:ascii="宋体" w:hAnsi="宋体" w:eastAsia="宋体" w:cs="宋体"/>
          <w:bCs/>
          <w:color w:val="auto"/>
          <w:sz w:val="24"/>
          <w:highlight w:val="none"/>
          <w:shd w:val="clear" w:color="auto" w:fill="auto"/>
          <w:lang w:val="zh-CN" w:eastAsia="zh-Hans"/>
        </w:rPr>
        <w:t xml:space="preserve">技术培训要求</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zh-CN" w:eastAsia="zh-Hans"/>
        </w:rPr>
        <w:t xml:space="preserve">（</w:t>
      </w:r>
      <w:r>
        <w:rPr>
          <w:rFonts w:hint="eastAsia" w:ascii="宋体" w:hAnsi="宋体" w:eastAsia="宋体" w:cs="宋体"/>
          <w:bCs/>
          <w:color w:val="auto"/>
          <w:sz w:val="24"/>
          <w:highlight w:val="none"/>
          <w:shd w:val="clear" w:color="auto" w:fill="auto"/>
          <w:lang w:val="en-US" w:eastAsia="zh-CN"/>
        </w:rPr>
        <w:t xml:space="preserve">1</w:t>
      </w:r>
      <w:r>
        <w:rPr>
          <w:rFonts w:hint="eastAsia" w:ascii="宋体" w:hAnsi="宋体" w:eastAsia="宋体" w:cs="宋体"/>
          <w:bCs/>
          <w:color w:val="auto"/>
          <w:sz w:val="24"/>
          <w:highlight w:val="none"/>
          <w:shd w:val="clear" w:color="auto" w:fill="auto"/>
          <w:lang w:val="zh-CN" w:eastAsia="zh-Hans"/>
        </w:rPr>
        <w:t xml:space="preserve">）费用:</w:t>
      </w:r>
      <w:r>
        <w:rPr>
          <w:rFonts w:hint="eastAsia" w:ascii="宋体" w:hAnsi="宋体" w:eastAsia="宋体" w:cs="宋体"/>
          <w:bCs/>
          <w:color w:val="auto"/>
          <w:sz w:val="24"/>
          <w:highlight w:val="none"/>
          <w:shd w:val="clear" w:color="auto" w:fill="auto"/>
          <w:lang w:val="en-US" w:eastAsia="zh-CN"/>
        </w:rPr>
        <w:t xml:space="preserve">按照采购人要求，提供不少于2次</w:t>
      </w:r>
      <w:r>
        <w:rPr>
          <w:rFonts w:hint="eastAsia" w:ascii="宋体" w:hAnsi="宋体" w:eastAsia="宋体" w:cs="宋体"/>
          <w:bCs/>
          <w:color w:val="auto"/>
          <w:sz w:val="24"/>
          <w:highlight w:val="none"/>
          <w:shd w:val="clear" w:color="auto" w:fill="auto"/>
          <w:lang w:val="zh-CN" w:eastAsia="zh-Hans"/>
        </w:rPr>
        <w:t xml:space="preserve">免费</w:t>
      </w:r>
      <w:r>
        <w:rPr>
          <w:rFonts w:hint="eastAsia" w:ascii="宋体" w:hAnsi="宋体" w:eastAsia="宋体" w:cs="宋体"/>
          <w:bCs/>
          <w:color w:val="auto"/>
          <w:sz w:val="24"/>
          <w:highlight w:val="none"/>
          <w:shd w:val="clear" w:color="auto" w:fill="auto"/>
          <w:lang w:val="en-US" w:eastAsia="zh-CN"/>
        </w:rPr>
        <w:t xml:space="preserve">技术培训</w:t>
      </w:r>
      <w:r>
        <w:rPr>
          <w:rFonts w:hint="eastAsia" w:ascii="宋体" w:hAnsi="宋体" w:eastAsia="宋体" w:cs="宋体"/>
          <w:bCs/>
          <w:color w:val="auto"/>
          <w:sz w:val="24"/>
          <w:highlight w:val="none"/>
          <w:shd w:val="clear" w:color="auto" w:fill="auto"/>
          <w:lang w:val="zh-CN" w:eastAsia="zh-Hans"/>
        </w:rPr>
        <w:t xml:space="preserve">。</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zh-CN" w:eastAsia="zh-Hans"/>
        </w:rPr>
        <w:t xml:space="preserve">（</w:t>
      </w:r>
      <w:r>
        <w:rPr>
          <w:rFonts w:hint="eastAsia" w:ascii="宋体" w:hAnsi="宋体" w:eastAsia="宋体" w:cs="宋体"/>
          <w:bCs/>
          <w:color w:val="auto"/>
          <w:sz w:val="24"/>
          <w:highlight w:val="none"/>
          <w:shd w:val="clear" w:color="auto" w:fill="auto"/>
          <w:lang w:val="en-US" w:eastAsia="zh-CN"/>
        </w:rPr>
        <w:t xml:space="preserve">2</w:t>
      </w:r>
      <w:r>
        <w:rPr>
          <w:rFonts w:hint="eastAsia" w:ascii="宋体" w:hAnsi="宋体" w:eastAsia="宋体" w:cs="宋体"/>
          <w:bCs/>
          <w:color w:val="auto"/>
          <w:sz w:val="24"/>
          <w:highlight w:val="none"/>
          <w:shd w:val="clear" w:color="auto" w:fill="auto"/>
          <w:lang w:val="zh-CN" w:eastAsia="zh-Hans"/>
        </w:rPr>
        <w:t xml:space="preserve">）内容：操作、</w:t>
      </w:r>
      <w:r>
        <w:rPr>
          <w:rFonts w:hint="eastAsia" w:ascii="宋体" w:hAnsi="宋体" w:eastAsia="宋体" w:cs="宋体"/>
          <w:bCs/>
          <w:color w:val="auto"/>
          <w:sz w:val="24"/>
          <w:highlight w:val="none"/>
          <w:shd w:val="clear" w:color="auto" w:fill="auto"/>
          <w:lang w:val="en-US" w:eastAsia="zh-CN"/>
        </w:rPr>
        <w:t xml:space="preserve">维护保养</w:t>
      </w:r>
      <w:r>
        <w:rPr>
          <w:rFonts w:hint="eastAsia" w:ascii="宋体" w:hAnsi="宋体" w:eastAsia="宋体" w:cs="宋体"/>
          <w:bCs/>
          <w:color w:val="auto"/>
          <w:sz w:val="24"/>
          <w:highlight w:val="none"/>
          <w:shd w:val="clear" w:color="auto" w:fill="auto"/>
          <w:lang w:val="zh-CN" w:eastAsia="zh-Hans"/>
        </w:rPr>
        <w:t xml:space="preserve">、简单的故障诊断与排除。</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zh-CN" w:eastAsia="zh-Hans"/>
        </w:rPr>
        <w:t xml:space="preserve">（</w:t>
      </w:r>
      <w:r>
        <w:rPr>
          <w:rFonts w:hint="eastAsia" w:ascii="宋体" w:hAnsi="宋体" w:eastAsia="宋体" w:cs="宋体"/>
          <w:bCs/>
          <w:color w:val="auto"/>
          <w:sz w:val="24"/>
          <w:highlight w:val="none"/>
          <w:shd w:val="clear" w:color="auto" w:fill="auto"/>
          <w:lang w:val="en-US" w:eastAsia="zh-CN"/>
        </w:rPr>
        <w:t xml:space="preserve">3</w:t>
      </w:r>
      <w:r>
        <w:rPr>
          <w:rFonts w:hint="eastAsia" w:ascii="宋体" w:hAnsi="宋体" w:eastAsia="宋体" w:cs="宋体"/>
          <w:bCs/>
          <w:color w:val="auto"/>
          <w:sz w:val="24"/>
          <w:highlight w:val="none"/>
          <w:shd w:val="clear" w:color="auto" w:fill="auto"/>
          <w:lang w:val="zh-CN" w:eastAsia="zh-Hans"/>
        </w:rPr>
        <w:t xml:space="preserve">）效果：能够独立操作；能够独立日常维护与保养；能够进行简单的故障诊断与排除。</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en-US" w:eastAsia="zh-CN"/>
        </w:rPr>
        <w:t xml:space="preserve">6、</w:t>
      </w:r>
      <w:r>
        <w:rPr>
          <w:rFonts w:hint="eastAsia" w:ascii="宋体" w:hAnsi="宋体" w:eastAsia="宋体" w:cs="宋体"/>
          <w:bCs/>
          <w:color w:val="auto"/>
          <w:sz w:val="24"/>
          <w:highlight w:val="none"/>
          <w:shd w:val="clear" w:color="auto" w:fill="auto"/>
          <w:lang w:val="zh-CN" w:eastAsia="zh-Hans"/>
        </w:rPr>
        <w:t xml:space="preserve">从产品验收合格交付使用之日起，任何由制造、设计原因引起的损坏，应由中标人负责进行终身免费维修。</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en-US" w:eastAsia="zh-CN"/>
        </w:rPr>
        <w:t xml:space="preserve">7、</w:t>
      </w:r>
      <w:r>
        <w:rPr>
          <w:rFonts w:hint="eastAsia" w:ascii="宋体" w:hAnsi="宋体" w:eastAsia="宋体" w:cs="宋体"/>
          <w:bCs/>
          <w:color w:val="auto"/>
          <w:sz w:val="24"/>
          <w:highlight w:val="none"/>
          <w:shd w:val="clear" w:color="auto" w:fill="auto"/>
          <w:lang w:val="zh-CN" w:eastAsia="zh-Hans"/>
        </w:rPr>
        <w:t xml:space="preserve">备品备件要求：中标人应具有零备件仓库，并保证零配件的终身供应，且需按产品出厂规定提供随机备品备件、随机易损件、特殊专用工具附件等。</w:t>
      </w:r>
      <w:r/>
    </w:p>
    <w:p>
      <w:pPr>
        <w:pStyle w:val="899"/>
        <w:rPr>
          <w:lang w:val="zh-CN" w:eastAsia="zh-Hans"/>
        </w:rPr>
      </w:pPr>
      <w:r>
        <w:rPr>
          <w:lang w:val="zh-CN" w:eastAsia="zh-Hans"/>
        </w:rPr>
      </w:r>
      <w:r/>
    </w:p>
    <w:p>
      <w:pPr>
        <w:jc w:val="left"/>
        <w:spacing w:line="348" w:lineRule="auto"/>
        <w:rPr>
          <w:rFonts w:ascii="宋体" w:hAnsi="宋体" w:cs="宋体"/>
          <w:b/>
          <w:color w:val="auto"/>
          <w:sz w:val="24"/>
          <w:highlight w:val="none"/>
          <w:shd w:val="clear" w:color="auto" w:fill="auto"/>
          <w:lang w:val="zh-CN" w:eastAsia="zh-Hans"/>
        </w:rPr>
      </w:pPr>
      <w:r>
        <w:rPr>
          <w:rFonts w:hint="eastAsia" w:ascii="宋体" w:hAnsi="宋体" w:cs="宋体"/>
          <w:b/>
          <w:color w:val="auto"/>
          <w:sz w:val="24"/>
          <w:highlight w:val="none"/>
          <w:shd w:val="clear" w:color="auto" w:fill="auto"/>
          <w:lang w:val="zh-CN" w:eastAsia="zh-Hans"/>
        </w:rPr>
        <w:t xml:space="preserve">七、其他要求</w:t>
      </w:r>
      <w:r/>
    </w:p>
    <w:p>
      <w:pPr>
        <w:ind w:firstLine="480"/>
        <w:spacing w:line="348" w:lineRule="auto"/>
        <w:rPr>
          <w:rFonts w:ascii="宋体" w:hAnsi="宋体" w:cs="宋体"/>
          <w:color w:val="auto"/>
          <w:sz w:val="24"/>
          <w:szCs w:val="24"/>
          <w:highlight w:val="none"/>
          <w:shd w:val="clear" w:color="auto" w:fill="auto"/>
          <w:lang w:val="zh-CN"/>
        </w:rPr>
      </w:pPr>
      <w:r>
        <w:rPr>
          <w:rFonts w:hint="eastAsia" w:ascii="宋体" w:hAnsi="宋体" w:cs="宋体"/>
          <w:color w:val="auto"/>
          <w:sz w:val="24"/>
          <w:szCs w:val="24"/>
          <w:highlight w:val="none"/>
          <w:shd w:val="clear" w:color="auto" w:fill="auto"/>
        </w:rPr>
        <w:t xml:space="preserve">1</w:t>
      </w:r>
      <w:r>
        <w:rPr>
          <w:rFonts w:hint="eastAsia" w:ascii="宋体" w:hAnsi="宋体" w:cs="宋体"/>
          <w:color w:val="auto"/>
          <w:sz w:val="24"/>
          <w:szCs w:val="24"/>
          <w:highlight w:val="none"/>
          <w:shd w:val="clear" w:color="auto" w:fill="auto"/>
          <w:lang w:val="zh-CN"/>
        </w:rPr>
        <w:t xml:space="preserve">、验收合格并不免除在质保期内中标人应负的责任。</w:t>
      </w:r>
      <w:r/>
    </w:p>
    <w:p>
      <w:pPr>
        <w:ind w:firstLine="480"/>
        <w:spacing w:line="348" w:lineRule="auto"/>
        <w:rPr>
          <w:rFonts w:ascii="宋体" w:hAnsi="宋体" w:cs="宋体"/>
          <w:color w:val="auto"/>
          <w:sz w:val="24"/>
          <w:szCs w:val="24"/>
          <w:highlight w:val="none"/>
          <w:shd w:val="clear" w:color="auto" w:fill="auto"/>
          <w:lang w:val="zh-CN"/>
        </w:rPr>
      </w:pPr>
      <w:r>
        <w:rPr>
          <w:rFonts w:hint="eastAsia" w:ascii="宋体" w:hAnsi="宋体" w:cs="宋体"/>
          <w:color w:val="auto"/>
          <w:sz w:val="24"/>
          <w:szCs w:val="24"/>
          <w:highlight w:val="none"/>
          <w:shd w:val="clear" w:color="auto" w:fill="auto"/>
        </w:rPr>
        <w:t xml:space="preserve">2</w:t>
      </w:r>
      <w:r>
        <w:rPr>
          <w:rFonts w:hint="eastAsia" w:ascii="宋体" w:hAnsi="宋体" w:cs="宋体"/>
          <w:color w:val="auto"/>
          <w:sz w:val="24"/>
          <w:szCs w:val="24"/>
          <w:highlight w:val="none"/>
          <w:shd w:val="clear" w:color="auto" w:fill="auto"/>
          <w:lang w:val="zh-CN"/>
        </w:rPr>
        <w:t xml:space="preserve">、其它要求见招标文件《拟签订的合同文本》。</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七章  投标文件相关格式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开标一览表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4．偏离表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中小企业声明函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投标人参加政府采购活动前3年内在经营活动中没有重大违法记录的书面声明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w:t>
      </w:r>
      <w:r>
        <w:rPr>
          <w:rFonts w:hint="eastAsia" w:ascii="宋体" w:hAnsi="宋体" w:eastAsia="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10.投标人相关承诺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sz w:val="24"/>
          <w:szCs w:val="24"/>
        </w:rPr>
        <w:t xml:space="preserve">预付款保函支付条款</w:t>
      </w:r>
      <w:r/>
    </w:p>
    <w:p>
      <w:pPr>
        <w:pStyle w:val="7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江苏瑞利项目管理有限公司</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据此函，投标人承诺并同意如下： </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投标人唯一投标报价见《开标一览表》。</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投标人将按招标文件的规定履行合同责任和义务。</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投标有效期为开标之日后90天。</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 投标人不在投标初始有效期内撤回投标。</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投标人同意在授予合同后，按照投标资料表中的有关规定支付招标代理服务费。 </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 采购人或采购代理机构有权将我单位本项目的《开标一览表》予以公示，公示的方式由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江苏纳联工程咨询有限公司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 与本投标有关的一切正式往来信函请寄：</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手机号码：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2．开标一览表</w:t>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899"/>
        <w:rPr>
          <w:rFonts w:hint="eastAsia"/>
          <w:lang w:eastAsia="zh-CN"/>
        </w:rPr>
      </w:pPr>
      <w:r>
        <w:rPr>
          <w:rFonts w:hint="eastAsia"/>
          <w:lang w:eastAsia="zh-CN"/>
        </w:rPr>
      </w:r>
      <w:r/>
    </w:p>
    <w:p>
      <w:pPr>
        <w:pStyle w:val="899"/>
        <w:rPr>
          <w:rFonts w:hint="eastAsia"/>
          <w:lang w:eastAsia="zh-CN"/>
        </w:rPr>
      </w:pPr>
      <w:r>
        <w:rPr>
          <w:rFonts w:hint="eastAsia"/>
          <w:lang w:eastAsia="zh-CN"/>
        </w:rPr>
      </w:r>
      <w:r/>
    </w:p>
    <w:p>
      <w:pPr>
        <w:ind w:firstLine="6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672"/>
        <w:tblW w:w="1076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13"/>
        <w:gridCol w:w="2046"/>
        <w:gridCol w:w="2505"/>
        <w:gridCol w:w="2898"/>
      </w:tblGrid>
      <w:tr>
        <w:trPr>
          <w:cantSplit/>
          <w:jc w:val="center"/>
          <w:trHeight w:val="991"/>
        </w:trPr>
        <w:tc>
          <w:tcPr>
            <w:tcBorders>
              <w:top w:val="single" w:color="000000" w:sz="6" w:space="0"/>
              <w:left w:val="single" w:color="000000" w:sz="6" w:space="0"/>
              <w:bottom w:val="single" w:color="000000" w:sz="2"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204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2505"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采购货物</w:t>
            </w:r>
            <w:r/>
          </w:p>
        </w:tc>
        <w:tc>
          <w:tcPr>
            <w:tcBorders>
              <w:top w:val="single" w:color="000000" w:sz="6" w:space="0"/>
              <w:left w:val="single" w:color="auto" w:sz="4" w:space="0"/>
              <w:bottom w:val="single" w:color="000000" w:sz="2" w:space="0"/>
              <w:right w:val="single" w:color="000000" w:sz="2" w:space="0"/>
            </w:tcBorders>
            <w:tcW w:w="289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876"/>
        </w:trPr>
        <w:tc>
          <w:tcPr>
            <w:tcBorders>
              <w:top w:val="single" w:color="000000" w:sz="2" w:space="0"/>
              <w:left w:val="single" w:color="000000" w:sz="6" w:space="0"/>
              <w:right w:val="single" w:color="000000" w:sz="2" w:space="0"/>
            </w:tcBorders>
            <w:tcW w:w="3313" w:type="dxa"/>
            <w:vAlign w:val="center"/>
            <w:vMerge w:val="restart"/>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睢宁县沙集镇8吨水罐消防车采购</w:t>
            </w:r>
            <w:r/>
          </w:p>
        </w:tc>
        <w:tc>
          <w:tcPr>
            <w:tcBorders>
              <w:top w:val="single" w:color="000000" w:sz="2" w:space="0"/>
              <w:left w:val="single" w:color="000000" w:sz="2" w:space="0"/>
              <w:right w:val="single" w:color="auto" w:sz="4" w:space="0"/>
            </w:tcBorders>
            <w:tcW w:w="2046" w:type="dxa"/>
            <w:vAlign w:val="center"/>
            <w:vMerge w:val="restart"/>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250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8吨泡沫消防车 </w:t>
            </w:r>
            <w:r/>
          </w:p>
        </w:tc>
        <w:tc>
          <w:tcPr>
            <w:tcBorders>
              <w:top w:val="single" w:color="000000" w:sz="2" w:space="0"/>
              <w:left w:val="single" w:color="auto" w:sz="4" w:space="0"/>
              <w:right w:val="single" w:color="000000" w:sz="2" w:space="0"/>
            </w:tcBorders>
            <w:tcW w:w="289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951"/>
        </w:trPr>
        <w:tc>
          <w:tcPr>
            <w:tcBorders>
              <w:left w:val="single" w:color="000000" w:sz="6" w:space="0"/>
              <w:right w:val="single" w:color="000000" w:sz="2" w:space="0"/>
            </w:tcBorders>
            <w:tcW w:w="3313" w:type="dxa"/>
            <w:vAlign w:val="center"/>
            <w:vMerge w:val="continue"/>
            <w:textDirection w:val="lrTb"/>
            <w:noWrap w:val="false"/>
          </w:tcPr>
          <w:p>
            <w:pPr>
              <w:jc w:val="center"/>
            </w:pPr>
            <w:r/>
            <w:r/>
          </w:p>
        </w:tc>
        <w:tc>
          <w:tcPr>
            <w:tcBorders>
              <w:left w:val="single" w:color="000000" w:sz="2" w:space="0"/>
              <w:right w:val="single" w:color="auto" w:sz="4" w:space="0"/>
            </w:tcBorders>
            <w:tcW w:w="2046" w:type="dxa"/>
            <w:vAlign w:val="center"/>
            <w:vMerge w:val="continue"/>
            <w:textDirection w:val="lrTb"/>
            <w:noWrap w:val="false"/>
          </w:tcPr>
          <w:p>
            <w:pPr>
              <w:jc w:val="center"/>
            </w:pPr>
            <w:r/>
            <w:r/>
          </w:p>
        </w:tc>
        <w:tc>
          <w:tcPr>
            <w:tcBorders>
              <w:top w:val="single" w:color="000000" w:sz="2" w:space="0"/>
              <w:left w:val="single" w:color="auto" w:sz="4" w:space="0"/>
              <w:right w:val="single" w:color="000000" w:sz="2" w:space="0"/>
            </w:tcBorders>
            <w:tcW w:w="250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4吨水罐消防车</w:t>
            </w:r>
            <w:r/>
          </w:p>
        </w:tc>
        <w:tc>
          <w:tcPr>
            <w:tcBorders>
              <w:top w:val="single" w:color="000000" w:sz="2" w:space="0"/>
              <w:left w:val="single" w:color="auto" w:sz="4" w:space="0"/>
              <w:right w:val="single" w:color="000000" w:sz="2" w:space="0"/>
            </w:tcBorders>
            <w:tcW w:w="289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46"/>
        </w:trPr>
        <w:tc>
          <w:tcPr>
            <w:gridSpan w:val="3"/>
            <w:tcBorders>
              <w:top w:val="single" w:color="000000" w:sz="2" w:space="0"/>
              <w:left w:val="single" w:color="000000" w:sz="6" w:space="0"/>
              <w:bottom w:val="single" w:color="000000" w:sz="2" w:space="0"/>
              <w:right w:val="single" w:color="000000" w:sz="2" w:space="0"/>
            </w:tcBorders>
            <w:tcW w:w="7864" w:type="dxa"/>
            <w:vAlign w:val="center"/>
            <w:textDirection w:val="lrTb"/>
            <w:noWrap w:val="false"/>
          </w:tcPr>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合计</w:t>
            </w: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Borders>
              <w:top w:val="single" w:color="000000" w:sz="2" w:space="0"/>
              <w:left w:val="single" w:color="000000" w:sz="6" w:space="0"/>
              <w:bottom w:val="single" w:color="000000" w:sz="2" w:space="0"/>
              <w:right w:val="single" w:color="000000" w:sz="2" w:space="0"/>
            </w:tcBorders>
            <w:tcW w:w="2898" w:type="dxa"/>
            <w:vAlign w:val="center"/>
            <w:textDirection w:val="lrTb"/>
            <w:noWrap w:val="false"/>
          </w:tcPr>
          <w:p>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合计总价（小写）：</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3．分项价格表</w:t>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1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672"/>
        <w:tblW w:w="985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08"/>
        <w:gridCol w:w="878"/>
        <w:gridCol w:w="1119"/>
        <w:gridCol w:w="1604"/>
        <w:gridCol w:w="1504"/>
        <w:gridCol w:w="833"/>
        <w:gridCol w:w="740"/>
        <w:gridCol w:w="1060"/>
        <w:gridCol w:w="1508"/>
      </w:tblGrid>
      <w:tr>
        <w:trPr>
          <w:jc w:val="center"/>
          <w:trHeight w:val="1811"/>
        </w:trPr>
        <w:tc>
          <w:tcPr>
            <w:shd w:val="clear" w:color="auto" w:fill="c0c0c0"/>
            <w:tcMar>
              <w:left w:w="15" w:type="dxa"/>
              <w:top w:w="15" w:type="dxa"/>
              <w:right w:w="15" w:type="dxa"/>
            </w:tcMar>
            <w:tcW w:w="60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tcMar>
            <w:tcW w:w="87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tcMar>
            <w:tcW w:w="111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0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0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83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tcMar>
            <w:tcW w:w="740"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tcMar>
            <w:tcW w:w="1060"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Mar>
              <w:left w:w="15" w:type="dxa"/>
              <w:top w:w="15" w:type="dxa"/>
              <w:right w:w="15" w:type="dxa"/>
            </w:tcMar>
            <w:tcW w:w="150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r>
      <w:tr>
        <w:trPr>
          <w:jc w:val="center"/>
          <w:trHeight w:val="564"/>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0"/>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0"/>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0"/>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985"/>
        </w:trPr>
        <w:tc>
          <w:tcPr>
            <w:gridSpan w:val="4"/>
            <w:tcMar>
              <w:left w:w="15" w:type="dxa"/>
              <w:top w:w="15" w:type="dxa"/>
              <w:right w:w="15" w:type="dxa"/>
            </w:tcMar>
            <w:tcW w:w="420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45"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注：1．</w:t>
      </w:r>
      <w:r>
        <w:rPr>
          <w:rFonts w:hint="eastAsia" w:ascii="宋体" w:hAnsi="宋体" w:eastAsia="宋体" w:cs="宋体"/>
          <w:b/>
          <w:color w:val="000000" w:themeColor="text1"/>
          <w:sz w:val="24"/>
          <w:highlight w:val="none"/>
          <w14:textFill>
            <w14:solidFill>
              <w14:schemeClr w14:val="tx1"/>
            </w14:solidFill>
          </w14:textFill>
        </w:rPr>
        <w:t xml:space="preserve">如果不提供详细分项报价将视为没有实质性响应招标文件。</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投标人对以上数据的真实性负责。</w:t>
      </w:r>
      <w:r/>
    </w:p>
    <w:p>
      <w:pPr>
        <w:ind w:firstLine="480"/>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lang w:eastAsia="zh-CN"/>
          <w14:textFill>
            <w14:solidFill>
              <w14:schemeClr w14:val="tx1"/>
            </w14:solidFill>
          </w14:textFill>
        </w:rPr>
        <w:t xml:space="preserve">江苏瑞利项目管理有限公司</w:t>
      </w:r>
      <w:r>
        <w:rPr>
          <w:rFonts w:hint="eastAsia" w:ascii="宋体" w:hAnsi="宋体" w:eastAsia="宋体" w:cs="宋体"/>
          <w:i/>
          <w:color w:val="000000" w:themeColor="text1"/>
          <w:sz w:val="24"/>
          <w:highlight w:val="none"/>
          <w:u w:val="single"/>
          <w14:textFill>
            <w14:solidFill>
              <w14:schemeClr w14:val="tx1"/>
            </w14:solidFill>
          </w14:textFill>
        </w:rPr>
        <w:t xml:space="preserve">有权将以上内容进行公示。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4．偏离表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672"/>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36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委托人（公章）：                      受托人（签字）：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(受托人身份证原件扫描件附后)</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jc w:val="cente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highlight w:val="none"/>
          <w14:textFill>
            <w14:solidFill>
              <w14:schemeClr w14:val="tx1"/>
            </w14:solidFill>
          </w14:textFill>
        </w:rPr>
        <w:t xml:space="preserve">）的规定，本公司参加（</w:t>
      </w:r>
      <w:r>
        <w:rPr>
          <w:rStyle w:val="897"/>
          <w:rFonts w:hint="eastAsia" w:ascii="宋体" w:hAnsi="宋体" w:cs="宋体"/>
          <w:color w:val="auto"/>
          <w:sz w:val="24"/>
          <w:highlight w:val="none"/>
          <w:u w:val="single"/>
          <w:shd w:val="clear" w:color="auto" w:fill="auto"/>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提供的货物</w:t>
      </w:r>
      <w:r>
        <w:rPr>
          <w:rFonts w:hint="eastAsia" w:ascii="宋体" w:hAnsi="宋体" w:eastAsia="宋体" w:cs="宋体"/>
          <w:color w:val="000000" w:themeColor="text1"/>
          <w:sz w:val="24"/>
          <w:highlight w:val="none"/>
          <w14:textFill>
            <w14:solidFill>
              <w14:schemeClr w14:val="tx1"/>
            </w14:solidFill>
          </w14:textFill>
        </w:rPr>
        <w:t xml:space="preserve">全部由符合政策要求的中小企业承接。相关企业的具体情况如下：</w:t>
      </w:r>
      <w:r/>
    </w:p>
    <w:p>
      <w:pPr>
        <w:pStyle w:val="688"/>
        <w:numPr>
          <w:ilvl w:val="0"/>
          <w:numId w:val="4"/>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688"/>
        <w:numPr>
          <w:ilvl w:val="0"/>
          <w:numId w:val="4"/>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688"/>
        <w:numPr>
          <w:ilvl w:val="0"/>
          <w:numId w:val="0"/>
        </w:numPr>
        <w:ind w:left="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688"/>
        <w:ind w:right="480"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688"/>
        <w:ind w:right="480" w:firstLine="26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68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说明：</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val="off"/>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宋体" w:hAnsi="宋体" w:cs="宋体"/>
          <w:color w:val="000000" w:themeColor="text1"/>
          <w:sz w:val="22"/>
          <w:szCs w:val="22"/>
          <w:highlight w:val="none"/>
          <w:lang w:val="zh-CN"/>
          <w14:textFill>
            <w14:solidFill>
              <w14:schemeClr w14:val="tx1"/>
            </w14:solidFill>
          </w14:textFill>
        </w:rPr>
        <w:t xml:space="preserve">〔2011〕300号</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）规定的划分标准，本项目行业种类为工业。</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3.供应商如不提供此声明函，资格性审查不能通过。</w:t>
      </w:r>
      <w:r/>
    </w:p>
    <w:p>
      <w:pPr>
        <w:pStyle w:val="880"/>
        <w:ind w:right="480" w:firstLine="3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08"/>
        <w:ind w:firstLine="44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“中小企业声明涵” 查询渠道用微信搜索“中小企业规模类型自测小程序”。</w:t>
      </w:r>
      <w:r/>
    </w:p>
    <w:p>
      <w:pPr>
        <w:pStyle w:val="908"/>
        <w:ind w:firstLine="56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t xml:space="preserve">如有疑问，可与市工信局中小企业综合协调处咨询联系。联系电话：0516-83861958</w:t>
      </w:r>
      <w:r/>
    </w:p>
    <w:p>
      <w:pPr>
        <w:pStyle w:val="908"/>
        <w:ind w:firstLine="56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ascii="Arial" w:hAnsi="Arial"/>
          <w:sz w:val="21"/>
          <w:szCs w:val="21"/>
          <w:lang w:eastAsia="en-US"/>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3"/>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3" o:title=""/>
              </v:shape>
            </w:pict>
          </mc:Fallback>
        </mc:AlternateContent>
      </w:r>
      <w:r/>
    </w:p>
    <w:p>
      <w:pPr>
        <w:pStyle w:val="908"/>
        <w:ind w:firstLine="56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投标人参加政府采购活动前3年内在经营活动中没有重大违法记录的书面声明</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09"/>
        <w:ind w:firstLine="7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84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88"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bookmarkStart w:id="1" w:name="OLE_LINK13"/>
      <w:r/>
      <w:bookmarkStart w:id="2" w:name="OLE_LINK14"/>
      <w:r>
        <w:rPr>
          <w:rFonts w:hint="eastAsia" w:ascii="宋体" w:hAnsi="宋体" w:eastAsia="宋体" w:cs="宋体"/>
          <w:color w:val="000000" w:themeColor="text1"/>
          <w:spacing w:val="6"/>
          <w:sz w:val="28"/>
          <w:szCs w:val="28"/>
          <w:highlight w:val="none"/>
          <w14:textFill>
            <w14:solidFill>
              <w14:schemeClr w14:val="tx1"/>
            </w14:solidFill>
          </w14:textFill>
        </w:rPr>
        <w:t xml:space="preserve"> 残疾人福利性单位声明函</w:t>
      </w:r>
      <w:bookmarkEnd w:id="1"/>
      <w:r/>
      <w:bookmarkEnd w:id="2"/>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（单位名称）</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（附证明材料</w:t>
      </w:r>
      <w:r>
        <w:rPr>
          <w:rFonts w:hint="eastAsia" w:ascii="宋体" w:hAnsi="宋体" w:eastAsia="宋体" w:cs="宋体"/>
          <w:color w:val="000000" w:themeColor="text1"/>
          <w:sz w:val="28"/>
          <w:szCs w:val="28"/>
          <w:highlight w:val="none"/>
          <w14:textFill>
            <w14:solidFill>
              <w14:schemeClr w14:val="tx1"/>
            </w14:solidFill>
          </w14:textFill>
        </w:rPr>
        <w:t xml:space="preserve">的扫描件</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11.投标人书面声明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pStyle w:val="690"/>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685"/>
        <w:ind w:firstLine="562"/>
        <w:jc w:val="center"/>
        <w:spacing w:line="48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 xml:space="preserve">12.</w:t>
      </w:r>
      <w:r>
        <w:rPr>
          <w:rFonts w:hint="eastAsia" w:ascii="宋体" w:hAnsi="宋体" w:cs="宋体"/>
          <w:color w:val="000000" w:themeColor="text1"/>
          <w:sz w:val="30"/>
          <w:szCs w:val="30"/>
          <w:highlight w:val="none"/>
          <w14:textFill>
            <w14:solidFill>
              <w14:schemeClr w14:val="tx1"/>
            </w14:solidFill>
          </w14:textFill>
        </w:rPr>
        <w:t xml:space="preserve">预付款保函支付条款模板</w:t>
      </w:r>
      <w:r/>
    </w:p>
    <w:p>
      <w:pPr>
        <w:pStyle w:val="68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685"/>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8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68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8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68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685"/>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8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68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8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685"/>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pStyle w:val="68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68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690"/>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sectPr>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6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link w:val="904"/>
    <w:uiPriority w:val="0"/>
    <w:qFormat/>
    <w:pPr>
      <w:jc w:val="both"/>
      <w:widowControl w:val="off"/>
    </w:pPr>
    <w:rPr>
      <w:rFonts w:hint="default" w:ascii="Times New Roman" w:hAnsi="Times New Roman" w:eastAsia="宋体" w:cs="Times New Roman"/>
      <w:sz w:val="21"/>
      <w:szCs w:val="24"/>
    </w:rPr>
  </w:style>
  <w:style w:type="paragraph" w:styleId="662">
    <w:name w:val="Heading 1"/>
    <w:basedOn w:val="661"/>
    <w:next w:val="661"/>
    <w:uiPriority w:val="0"/>
    <w:qFormat/>
    <w:pPr>
      <w:keepLines/>
      <w:keepNext/>
      <w:spacing w:before="340" w:after="330" w:line="578" w:lineRule="auto"/>
      <w:outlineLvl w:val="0"/>
    </w:pPr>
    <w:rPr>
      <w:b/>
      <w:bCs/>
      <w:sz w:val="44"/>
      <w:szCs w:val="44"/>
    </w:rPr>
  </w:style>
  <w:style w:type="paragraph" w:styleId="663">
    <w:name w:val="Heading 2"/>
    <w:basedOn w:val="661"/>
    <w:next w:val="661"/>
    <w:link w:val="726"/>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724"/>
    <w:uiPriority w:val="0"/>
    <w:unhideWhenUsed/>
    <w:qFormat/>
    <w:pPr>
      <w:keepLines/>
      <w:keepNext/>
      <w:spacing w:before="260" w:after="260" w:line="416" w:lineRule="auto"/>
      <w:outlineLvl w:val="2"/>
    </w:pPr>
    <w:rPr>
      <w:b/>
      <w:bCs/>
      <w:sz w:val="32"/>
      <w:szCs w:val="32"/>
    </w:rPr>
  </w:style>
  <w:style w:type="paragraph" w:styleId="665">
    <w:name w:val="Heading 4"/>
    <w:basedOn w:val="661"/>
    <w:next w:val="66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66">
    <w:name w:val="Heading 5"/>
    <w:basedOn w:val="661"/>
    <w:next w:val="661"/>
    <w:link w:val="729"/>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30"/>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32"/>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33"/>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toc 7"/>
    <w:basedOn w:val="661"/>
    <w:next w:val="661"/>
    <w:uiPriority w:val="39"/>
    <w:unhideWhenUsed/>
    <w:qFormat/>
    <w:pPr>
      <w:ind w:left="1701" w:right="0" w:firstLine="0"/>
      <w:spacing w:after="57"/>
    </w:pPr>
  </w:style>
  <w:style w:type="paragraph" w:styleId="674">
    <w:name w:val="Normal Indent"/>
    <w:basedOn w:val="661"/>
    <w:next w:val="661"/>
    <w:uiPriority w:val="0"/>
    <w:qFormat/>
    <w:pPr>
      <w:ind w:firstLine="420"/>
    </w:pPr>
  </w:style>
  <w:style w:type="paragraph" w:styleId="675">
    <w:name w:val="Caption"/>
    <w:basedOn w:val="661"/>
    <w:next w:val="6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Body Text"/>
    <w:basedOn w:val="661"/>
    <w:next w:val="677"/>
    <w:uiPriority w:val="0"/>
    <w:qFormat/>
    <w:rPr>
      <w:rFonts w:ascii="楷体_GB2312" w:hAnsi="Arial" w:eastAsia="楷体_GB2312"/>
      <w:sz w:val="28"/>
      <w:szCs w:val="28"/>
    </w:rPr>
  </w:style>
  <w:style w:type="paragraph" w:styleId="677" w:customStyle="1">
    <w:name w:val="一级条标题"/>
    <w:basedOn w:val="678"/>
    <w:next w:val="6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8" w:customStyle="1">
    <w:name w:val="章标题"/>
    <w:basedOn w:val="679"/>
    <w:next w:val="661"/>
    <w:uiPriority w:val="0"/>
    <w:qFormat/>
    <w:pPr>
      <w:jc w:val="center"/>
      <w:spacing w:before="158" w:after="153" w:line="1292" w:lineRule="atLeast"/>
      <w:widowControl/>
    </w:pPr>
    <w:rPr>
      <w:rFonts w:ascii="Arial" w:hAnsi="Calibri" w:eastAsia="黑体"/>
      <w:sz w:val="31"/>
      <w:szCs w:val="22"/>
      <w:lang w:eastAsia="en-US" w:bidi="en-US"/>
    </w:rPr>
  </w:style>
  <w:style w:type="paragraph" w:styleId="679" w:customStyle="1">
    <w:name w:val="正文112"/>
    <w:next w:val="680"/>
    <w:uiPriority w:val="0"/>
    <w:qFormat/>
    <w:pPr>
      <w:jc w:val="both"/>
      <w:widowControl w:val="off"/>
    </w:pPr>
    <w:rPr>
      <w:rFonts w:hint="default" w:ascii="Times New Roman" w:hAnsi="Times New Roman" w:eastAsia="宋体" w:cs="Times New Roman"/>
      <w:sz w:val="21"/>
      <w:szCs w:val="24"/>
    </w:rPr>
  </w:style>
  <w:style w:type="paragraph" w:styleId="680" w:customStyle="1">
    <w:name w:val="标题 41"/>
    <w:basedOn w:val="681"/>
    <w:next w:val="683"/>
    <w:uiPriority w:val="0"/>
    <w:qFormat/>
    <w:pPr>
      <w:keepLines/>
      <w:keepNext/>
      <w:spacing w:line="360" w:lineRule="auto"/>
      <w:outlineLvl w:val="3"/>
    </w:pPr>
    <w:rPr>
      <w:rFonts w:ascii="Arial" w:hAnsi="Arial"/>
      <w:b/>
      <w:bCs/>
      <w:sz w:val="21"/>
      <w:szCs w:val="28"/>
    </w:rPr>
  </w:style>
  <w:style w:type="paragraph" w:styleId="681" w:customStyle="1">
    <w:name w:val="正文12"/>
    <w:next w:val="682"/>
    <w:uiPriority w:val="0"/>
    <w:qFormat/>
    <w:pPr>
      <w:jc w:val="both"/>
      <w:widowControl w:val="off"/>
    </w:pPr>
    <w:rPr>
      <w:rFonts w:hint="eastAsia" w:ascii="宋体" w:hAnsi="宋体" w:eastAsia="宋体" w:cs="宋体"/>
      <w:color w:val="000000"/>
      <w:lang w:val="en-US" w:eastAsia="zh-CN" w:bidi="ar-SA"/>
    </w:rPr>
  </w:style>
  <w:style w:type="paragraph" w:styleId="682" w:customStyle="1">
    <w:name w:val="正文文本1"/>
    <w:basedOn w:val="661"/>
    <w:next w:val="677"/>
    <w:uiPriority w:val="99"/>
    <w:qFormat/>
    <w:pPr>
      <w:ind w:left="100"/>
      <w:spacing w:before="102"/>
    </w:pPr>
    <w:rPr>
      <w:rFonts w:ascii="仿宋" w:hAnsi="仿宋" w:eastAsia="仿宋" w:cs="仿宋"/>
      <w:sz w:val="28"/>
      <w:szCs w:val="28"/>
      <w:lang w:val="zh-CN"/>
    </w:rPr>
  </w:style>
  <w:style w:type="paragraph" w:styleId="683" w:customStyle="1">
    <w:name w:val="正文11"/>
    <w:next w:val="684"/>
    <w:uiPriority w:val="0"/>
    <w:qFormat/>
    <w:pPr>
      <w:jc w:val="both"/>
      <w:widowControl w:val="off"/>
    </w:pPr>
    <w:rPr>
      <w:rFonts w:hint="default" w:ascii="Times New Roman" w:hAnsi="Times New Roman" w:eastAsia="宋体" w:cs="Times New Roman"/>
      <w:sz w:val="21"/>
      <w:szCs w:val="24"/>
    </w:rPr>
  </w:style>
  <w:style w:type="paragraph" w:styleId="684" w:customStyle="1">
    <w:name w:val="目录 11"/>
    <w:basedOn w:val="685"/>
    <w:next w:val="661"/>
    <w:uiPriority w:val="0"/>
    <w:qFormat/>
    <w:pPr>
      <w:jc w:val="left"/>
      <w:spacing w:after="100" w:line="259" w:lineRule="auto"/>
      <w:widowControl/>
    </w:pPr>
    <w:rPr>
      <w:rFonts w:ascii="Calibri" w:hAnsi="Calibri"/>
      <w:sz w:val="22"/>
      <w:szCs w:val="22"/>
    </w:rPr>
  </w:style>
  <w:style w:type="paragraph" w:styleId="685" w:customStyle="1">
    <w:name w:val="正文1"/>
    <w:basedOn w:val="686"/>
    <w:next w:val="682"/>
    <w:uiPriority w:val="0"/>
    <w:qFormat/>
    <w:pPr>
      <w:jc w:val="both"/>
      <w:widowControl w:val="off"/>
    </w:pPr>
    <w:rPr>
      <w:rFonts w:hint="default" w:ascii="Calibri" w:hAnsi="Calibri" w:eastAsia="宋体" w:cs="Times New Roman"/>
      <w:sz w:val="21"/>
      <w:szCs w:val="24"/>
    </w:rPr>
  </w:style>
  <w:style w:type="paragraph" w:styleId="686" w:customStyle="1">
    <w:name w:val="正文111"/>
    <w:next w:val="66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687" w:customStyle="1">
    <w:name w:val="段"/>
    <w:basedOn w:val="685"/>
    <w:next w:val="685"/>
    <w:uiPriority w:val="0"/>
    <w:qFormat/>
    <w:pPr>
      <w:ind w:firstLine="200"/>
      <w:widowControl/>
    </w:pPr>
    <w:rPr>
      <w:rFonts w:ascii="宋体"/>
    </w:rPr>
  </w:style>
  <w:style w:type="paragraph" w:styleId="688">
    <w:name w:val="Body Text Indent"/>
    <w:basedOn w:val="661"/>
    <w:next w:val="689"/>
    <w:link w:val="873"/>
    <w:uiPriority w:val="0"/>
    <w:qFormat/>
    <w:pPr>
      <w:ind w:left="420"/>
      <w:spacing w:after="120"/>
    </w:pPr>
  </w:style>
  <w:style w:type="paragraph" w:styleId="689">
    <w:name w:val="envelope return"/>
    <w:basedOn w:val="661"/>
    <w:uiPriority w:val="0"/>
    <w:qFormat/>
    <w:rPr>
      <w:rFonts w:ascii="Arial" w:hAnsi="Arial"/>
    </w:rPr>
  </w:style>
  <w:style w:type="paragraph" w:styleId="690">
    <w:name w:val="Block Text"/>
    <w:basedOn w:val="661"/>
    <w:uiPriority w:val="6"/>
    <w:qFormat/>
    <w:pPr>
      <w:ind w:left="256" w:right="6" w:firstLine="624"/>
    </w:pPr>
    <w:rPr>
      <w:rFonts w:eastAsia="仿宋"/>
      <w:sz w:val="28"/>
      <w:szCs w:val="20"/>
    </w:rPr>
  </w:style>
  <w:style w:type="paragraph" w:styleId="691">
    <w:name w:val="index 4"/>
    <w:basedOn w:val="661"/>
    <w:next w:val="661"/>
    <w:uiPriority w:val="99"/>
    <w:unhideWhenUsed/>
    <w:qFormat/>
    <w:pPr>
      <w:ind w:left="600"/>
    </w:pPr>
    <w:rPr>
      <w:rFonts w:ascii="Verdana" w:hAnsi="Verdana" w:eastAsia="微软雅黑"/>
      <w:szCs w:val="20"/>
    </w:rPr>
  </w:style>
  <w:style w:type="paragraph" w:styleId="692">
    <w:name w:val="toc 5"/>
    <w:basedOn w:val="661"/>
    <w:next w:val="661"/>
    <w:uiPriority w:val="39"/>
    <w:unhideWhenUsed/>
    <w:qFormat/>
    <w:pPr>
      <w:ind w:left="1134" w:right="0" w:firstLine="0"/>
      <w:spacing w:after="57"/>
    </w:pPr>
  </w:style>
  <w:style w:type="paragraph" w:styleId="693">
    <w:name w:val="toc 3"/>
    <w:basedOn w:val="661"/>
    <w:next w:val="661"/>
    <w:uiPriority w:val="39"/>
    <w:unhideWhenUsed/>
    <w:qFormat/>
    <w:pPr>
      <w:ind w:left="567" w:right="0" w:firstLine="0"/>
      <w:spacing w:after="57"/>
    </w:pPr>
  </w:style>
  <w:style w:type="paragraph" w:styleId="694">
    <w:name w:val="Plain Text"/>
    <w:basedOn w:val="661"/>
    <w:link w:val="885"/>
    <w:uiPriority w:val="0"/>
    <w:qFormat/>
    <w:rPr>
      <w:rFonts w:ascii="宋体" w:hAnsi="Courier New"/>
      <w:szCs w:val="21"/>
    </w:rPr>
  </w:style>
  <w:style w:type="paragraph" w:styleId="695">
    <w:name w:val="toc 8"/>
    <w:basedOn w:val="661"/>
    <w:next w:val="661"/>
    <w:uiPriority w:val="39"/>
    <w:unhideWhenUsed/>
    <w:qFormat/>
    <w:pPr>
      <w:ind w:left="1984" w:right="0" w:firstLine="0"/>
      <w:spacing w:after="57"/>
    </w:pPr>
  </w:style>
  <w:style w:type="paragraph" w:styleId="696">
    <w:name w:val="Date"/>
    <w:basedOn w:val="661"/>
    <w:next w:val="661"/>
    <w:uiPriority w:val="0"/>
    <w:qFormat/>
    <w:rPr>
      <w:rFonts w:eastAsia="仿宋_GB2312"/>
      <w:sz w:val="28"/>
      <w:szCs w:val="20"/>
    </w:rPr>
  </w:style>
  <w:style w:type="paragraph" w:styleId="697">
    <w:name w:val="Body Text Indent 2"/>
    <w:basedOn w:val="661"/>
    <w:uiPriority w:val="0"/>
    <w:qFormat/>
    <w:pPr>
      <w:ind w:firstLine="475"/>
      <w:spacing w:line="10" w:lineRule="atLeast"/>
    </w:pPr>
    <w:rPr>
      <w:rFonts w:ascii="仿宋_GB2312" w:eastAsia="仿宋_GB2312"/>
      <w:sz w:val="24"/>
    </w:rPr>
  </w:style>
  <w:style w:type="paragraph" w:styleId="698">
    <w:name w:val="endnote text"/>
    <w:basedOn w:val="661"/>
    <w:link w:val="871"/>
    <w:uiPriority w:val="99"/>
    <w:semiHidden/>
    <w:unhideWhenUsed/>
    <w:qFormat/>
    <w:pPr>
      <w:spacing w:after="0" w:line="240" w:lineRule="auto"/>
    </w:pPr>
    <w:rPr>
      <w:sz w:val="20"/>
    </w:rPr>
  </w:style>
  <w:style w:type="paragraph" w:styleId="699">
    <w:name w:val="Footer"/>
    <w:basedOn w:val="661"/>
    <w:uiPriority w:val="0"/>
    <w:qFormat/>
    <w:pPr>
      <w:jc w:val="left"/>
      <w:tabs>
        <w:tab w:val="center" w:pos="4153" w:leader="none"/>
        <w:tab w:val="right" w:pos="8306" w:leader="none"/>
      </w:tabs>
    </w:pPr>
    <w:rPr>
      <w:sz w:val="18"/>
      <w:szCs w:val="18"/>
    </w:rPr>
  </w:style>
  <w:style w:type="paragraph" w:styleId="700">
    <w:name w:val="Header"/>
    <w:basedOn w:val="661"/>
    <w:uiPriority w:val="0"/>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61"/>
    <w:next w:val="661"/>
    <w:uiPriority w:val="39"/>
    <w:unhideWhenUsed/>
    <w:qFormat/>
    <w:pPr>
      <w:jc w:val="left"/>
      <w:spacing w:after="100" w:line="259" w:lineRule="auto"/>
      <w:widowControl/>
    </w:pPr>
    <w:rPr>
      <w:rFonts w:ascii="Calibri" w:hAnsi="Calibri"/>
      <w:sz w:val="22"/>
      <w:szCs w:val="22"/>
    </w:rPr>
  </w:style>
  <w:style w:type="paragraph" w:styleId="702">
    <w:name w:val="toc 4"/>
    <w:basedOn w:val="661"/>
    <w:next w:val="661"/>
    <w:uiPriority w:val="39"/>
    <w:unhideWhenUsed/>
    <w:qFormat/>
    <w:pPr>
      <w:ind w:left="850" w:right="0" w:firstLine="0"/>
      <w:spacing w:after="57"/>
    </w:pPr>
  </w:style>
  <w:style w:type="paragraph" w:styleId="703">
    <w:name w:val="Subtitle"/>
    <w:basedOn w:val="661"/>
    <w:next w:val="661"/>
    <w:link w:val="737"/>
    <w:uiPriority w:val="11"/>
    <w:qFormat/>
    <w:pPr>
      <w:spacing w:before="200" w:after="200"/>
    </w:pPr>
    <w:rPr>
      <w:sz w:val="24"/>
      <w:szCs w:val="24"/>
    </w:rPr>
  </w:style>
  <w:style w:type="paragraph" w:styleId="704">
    <w:name w:val="footnote text"/>
    <w:basedOn w:val="661"/>
    <w:link w:val="870"/>
    <w:uiPriority w:val="99"/>
    <w:semiHidden/>
    <w:unhideWhenUsed/>
    <w:qFormat/>
    <w:pPr>
      <w:spacing w:after="40" w:line="240" w:lineRule="auto"/>
    </w:pPr>
    <w:rPr>
      <w:sz w:val="18"/>
    </w:rPr>
  </w:style>
  <w:style w:type="paragraph" w:styleId="705">
    <w:name w:val="toc 6"/>
    <w:basedOn w:val="661"/>
    <w:next w:val="661"/>
    <w:uiPriority w:val="39"/>
    <w:unhideWhenUsed/>
    <w:qFormat/>
    <w:pPr>
      <w:ind w:left="1417" w:right="0" w:firstLine="0"/>
      <w:spacing w:after="57"/>
    </w:pPr>
  </w:style>
  <w:style w:type="paragraph" w:styleId="706">
    <w:name w:val="table of figures"/>
    <w:basedOn w:val="661"/>
    <w:next w:val="661"/>
    <w:uiPriority w:val="99"/>
    <w:unhideWhenUsed/>
    <w:qFormat/>
    <w:pPr>
      <w:spacing w:after="0" w:afterAutospacing="0"/>
    </w:pPr>
  </w:style>
  <w:style w:type="paragraph" w:styleId="707">
    <w:name w:val="toc 2"/>
    <w:basedOn w:val="661"/>
    <w:next w:val="661"/>
    <w:uiPriority w:val="39"/>
    <w:unhideWhenUsed/>
    <w:qFormat/>
    <w:pPr>
      <w:ind w:left="283" w:right="0" w:firstLine="0"/>
      <w:spacing w:after="57"/>
    </w:pPr>
  </w:style>
  <w:style w:type="paragraph" w:styleId="708">
    <w:name w:val="toc 9"/>
    <w:basedOn w:val="661"/>
    <w:next w:val="661"/>
    <w:uiPriority w:val="39"/>
    <w:unhideWhenUsed/>
    <w:qFormat/>
    <w:pPr>
      <w:ind w:left="2268" w:right="0" w:firstLine="0"/>
      <w:spacing w:after="57"/>
    </w:pPr>
  </w:style>
  <w:style w:type="paragraph" w:styleId="709">
    <w:name w:val="Normal (Web)"/>
    <w:basedOn w:val="661"/>
    <w:uiPriority w:val="0"/>
    <w:qFormat/>
    <w:pPr>
      <w:jc w:val="left"/>
      <w:spacing w:before="100" w:beforeAutospacing="1" w:after="100" w:afterAutospacing="1"/>
      <w:widowControl/>
    </w:pPr>
    <w:rPr>
      <w:rFonts w:ascii="宋体" w:hAnsi="宋体" w:cs="宋体"/>
      <w:sz w:val="24"/>
    </w:rPr>
  </w:style>
  <w:style w:type="paragraph" w:styleId="710">
    <w:name w:val="Title"/>
    <w:basedOn w:val="661"/>
    <w:link w:val="736"/>
    <w:uiPriority w:val="10"/>
    <w:qFormat/>
    <w:pPr>
      <w:contextualSpacing/>
      <w:spacing w:before="300" w:after="200"/>
    </w:pPr>
    <w:rPr>
      <w:sz w:val="48"/>
      <w:szCs w:val="48"/>
    </w:rPr>
  </w:style>
  <w:style w:type="paragraph" w:styleId="711">
    <w:name w:val="Body Text First Indent 2"/>
    <w:basedOn w:val="688"/>
    <w:link w:val="884"/>
    <w:uiPriority w:val="0"/>
    <w:qFormat/>
    <w:pPr>
      <w:ind w:firstLine="420"/>
    </w:pPr>
  </w:style>
  <w:style w:type="table" w:styleId="712">
    <w:name w:val="Table Grid"/>
    <w:basedOn w:val="67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71"/>
    <w:uiPriority w:val="99"/>
    <w:semiHidden/>
    <w:unhideWhenUsed/>
    <w:qFormat/>
    <w:rPr>
      <w:vertAlign w:val="superscript"/>
    </w:rPr>
  </w:style>
  <w:style w:type="character" w:styleId="714">
    <w:name w:val="page number"/>
    <w:basedOn w:val="671"/>
    <w:uiPriority w:val="0"/>
    <w:qFormat/>
  </w:style>
  <w:style w:type="character" w:styleId="715">
    <w:name w:val="FollowedHyperlink"/>
    <w:basedOn w:val="671"/>
    <w:uiPriority w:val="0"/>
    <w:qFormat/>
    <w:rPr>
      <w:color w:val="800080"/>
      <w:u w:val="single"/>
    </w:rPr>
  </w:style>
  <w:style w:type="character" w:styleId="716">
    <w:name w:val="Hyperlink"/>
    <w:uiPriority w:val="0"/>
    <w:qFormat/>
    <w:rPr>
      <w:color w:val="0000ff"/>
      <w:u w:val="single"/>
    </w:rPr>
  </w:style>
  <w:style w:type="character" w:styleId="717">
    <w:name w:val="footnote reference"/>
    <w:basedOn w:val="671"/>
    <w:uiPriority w:val="99"/>
    <w:unhideWhenUsed/>
    <w:qFormat/>
    <w:rPr>
      <w:vertAlign w:val="superscript"/>
    </w:rPr>
  </w:style>
  <w:style w:type="paragraph" w:styleId="718" w:customStyle="1">
    <w:name w:val="首行缩进"/>
    <w:basedOn w:val="685"/>
    <w:uiPriority w:val="0"/>
    <w:qFormat/>
    <w:pPr>
      <w:ind w:left="0" w:firstLine="200"/>
      <w:jc w:val="both"/>
      <w:widowControl w:val="off"/>
    </w:pPr>
    <w:rPr>
      <w:rFonts w:ascii="Times New Roman" w:cs="Times New Roman"/>
      <w:sz w:val="20"/>
    </w:rPr>
  </w:style>
  <w:style w:type="paragraph" w:styleId="719" w:customStyle="1">
    <w:name w:val="正文首行缩进 211"/>
    <w:basedOn w:val="720"/>
    <w:next w:val="686"/>
    <w:uiPriority w:val="0"/>
    <w:qFormat/>
    <w:pPr>
      <w:ind w:firstLine="420"/>
      <w:tabs>
        <w:tab w:val="left" w:pos="0" w:leader="none"/>
        <w:tab w:val="left" w:pos="993" w:leader="none"/>
        <w:tab w:val="left" w:pos="1134" w:leader="none"/>
      </w:tabs>
    </w:pPr>
  </w:style>
  <w:style w:type="paragraph" w:styleId="720" w:customStyle="1">
    <w:name w:val="正文文本缩进11"/>
    <w:basedOn w:val="686"/>
    <w:next w:val="721"/>
    <w:uiPriority w:val="0"/>
    <w:qFormat/>
    <w:pPr>
      <w:ind w:left="420"/>
      <w:spacing w:after="120"/>
    </w:pPr>
  </w:style>
  <w:style w:type="paragraph" w:styleId="721" w:customStyle="1">
    <w:name w:val="寄信人地址1"/>
    <w:basedOn w:val="683"/>
    <w:uiPriority w:val="0"/>
    <w:qFormat/>
    <w:rPr>
      <w:rFonts w:ascii="Arial" w:hAnsi="Arial"/>
    </w:rPr>
  </w:style>
  <w:style w:type="paragraph" w:styleId="722" w:customStyle="1">
    <w:name w:val="目录 111"/>
    <w:basedOn w:val="686"/>
    <w:next w:val="661"/>
    <w:uiPriority w:val="0"/>
    <w:qFormat/>
    <w:pPr>
      <w:jc w:val="left"/>
      <w:spacing w:after="100" w:line="259" w:lineRule="auto"/>
      <w:widowControl/>
    </w:pPr>
    <w:rPr>
      <w:rFonts w:ascii="Calibri" w:hAnsi="Calibri"/>
      <w:sz w:val="22"/>
      <w:szCs w:val="22"/>
    </w:rPr>
  </w:style>
  <w:style w:type="paragraph" w:styleId="723" w:customStyle="1">
    <w:name w:val="目录 1111"/>
    <w:basedOn w:val="661"/>
    <w:next w:val="661"/>
    <w:uiPriority w:val="39"/>
    <w:unhideWhenUsed/>
    <w:qFormat/>
    <w:pPr>
      <w:spacing w:after="57"/>
    </w:pPr>
    <w:rPr>
      <w:rFonts w:ascii="Times New Roman" w:hAnsi="Times New Roman" w:eastAsia="宋体" w:cs="Times New Roman"/>
      <w:lang w:val="en-US" w:eastAsia="zh-CN" w:bidi="ar-SA"/>
    </w:rPr>
  </w:style>
  <w:style w:type="character" w:styleId="724" w:customStyle="1">
    <w:name w:val="标题 3 Char"/>
    <w:basedOn w:val="671"/>
    <w:link w:val="664"/>
    <w:uiPriority w:val="0"/>
    <w:qFormat/>
    <w:rPr>
      <w:b/>
      <w:bCs/>
      <w:sz w:val="32"/>
      <w:szCs w:val="32"/>
    </w:rPr>
  </w:style>
  <w:style w:type="character" w:styleId="725" w:customStyle="1">
    <w:name w:val="Heading 1 Char"/>
    <w:basedOn w:val="671"/>
    <w:uiPriority w:val="9"/>
    <w:qFormat/>
    <w:rPr>
      <w:rFonts w:ascii="Arial" w:hAnsi="Arial" w:eastAsia="Arial" w:cs="Arial"/>
      <w:sz w:val="40"/>
      <w:szCs w:val="40"/>
    </w:rPr>
  </w:style>
  <w:style w:type="character" w:styleId="726" w:customStyle="1">
    <w:name w:val="Heading 2 Char"/>
    <w:basedOn w:val="671"/>
    <w:link w:val="663"/>
    <w:uiPriority w:val="9"/>
    <w:qFormat/>
    <w:rPr>
      <w:rFonts w:ascii="Arial" w:hAnsi="Arial" w:eastAsia="Arial" w:cs="Arial"/>
      <w:sz w:val="34"/>
    </w:rPr>
  </w:style>
  <w:style w:type="character" w:styleId="727" w:customStyle="1">
    <w:name w:val="Heading 3 Char"/>
    <w:basedOn w:val="671"/>
    <w:uiPriority w:val="9"/>
    <w:qFormat/>
    <w:rPr>
      <w:rFonts w:ascii="Arial" w:hAnsi="Arial" w:eastAsia="Arial" w:cs="Arial"/>
      <w:sz w:val="30"/>
      <w:szCs w:val="30"/>
    </w:rPr>
  </w:style>
  <w:style w:type="character" w:styleId="728" w:customStyle="1">
    <w:name w:val="Heading 4 Char"/>
    <w:basedOn w:val="671"/>
    <w:uiPriority w:val="9"/>
    <w:qFormat/>
    <w:rPr>
      <w:rFonts w:ascii="Arial" w:hAnsi="Arial" w:eastAsia="Arial" w:cs="Arial"/>
      <w:b/>
      <w:bCs/>
      <w:sz w:val="26"/>
      <w:szCs w:val="26"/>
    </w:rPr>
  </w:style>
  <w:style w:type="character" w:styleId="729" w:customStyle="1">
    <w:name w:val="Heading 5 Char"/>
    <w:basedOn w:val="671"/>
    <w:link w:val="666"/>
    <w:uiPriority w:val="9"/>
    <w:qFormat/>
    <w:rPr>
      <w:rFonts w:ascii="Arial" w:hAnsi="Arial" w:eastAsia="Arial" w:cs="Arial"/>
      <w:b/>
      <w:bCs/>
      <w:sz w:val="24"/>
      <w:szCs w:val="24"/>
    </w:rPr>
  </w:style>
  <w:style w:type="character" w:styleId="730" w:customStyle="1">
    <w:name w:val="Heading 6 Char"/>
    <w:basedOn w:val="671"/>
    <w:link w:val="667"/>
    <w:uiPriority w:val="9"/>
    <w:qFormat/>
    <w:rPr>
      <w:rFonts w:ascii="Arial" w:hAnsi="Arial" w:eastAsia="Arial" w:cs="Arial"/>
      <w:b/>
      <w:bCs/>
      <w:sz w:val="22"/>
      <w:szCs w:val="22"/>
    </w:rPr>
  </w:style>
  <w:style w:type="character" w:styleId="731" w:customStyle="1">
    <w:name w:val="Heading 7 Char"/>
    <w:basedOn w:val="671"/>
    <w:link w:val="668"/>
    <w:uiPriority w:val="9"/>
    <w:qFormat/>
    <w:rPr>
      <w:rFonts w:ascii="Arial" w:hAnsi="Arial" w:eastAsia="Arial" w:cs="Arial"/>
      <w:b/>
      <w:bCs/>
      <w:i/>
      <w:iCs/>
      <w:sz w:val="22"/>
      <w:szCs w:val="22"/>
    </w:rPr>
  </w:style>
  <w:style w:type="character" w:styleId="732" w:customStyle="1">
    <w:name w:val="Heading 8 Char"/>
    <w:basedOn w:val="671"/>
    <w:link w:val="669"/>
    <w:uiPriority w:val="9"/>
    <w:qFormat/>
    <w:rPr>
      <w:rFonts w:ascii="Arial" w:hAnsi="Arial" w:eastAsia="Arial" w:cs="Arial"/>
      <w:i/>
      <w:iCs/>
      <w:sz w:val="22"/>
      <w:szCs w:val="22"/>
    </w:rPr>
  </w:style>
  <w:style w:type="character" w:styleId="733" w:customStyle="1">
    <w:name w:val="Heading 9 Char"/>
    <w:basedOn w:val="671"/>
    <w:link w:val="670"/>
    <w:uiPriority w:val="9"/>
    <w:qFormat/>
    <w:rPr>
      <w:rFonts w:ascii="Arial" w:hAnsi="Arial" w:eastAsia="Arial" w:cs="Arial"/>
      <w:i/>
      <w:iCs/>
      <w:sz w:val="21"/>
      <w:szCs w:val="21"/>
    </w:rPr>
  </w:style>
  <w:style w:type="paragraph" w:styleId="734">
    <w:name w:val="List Paragraph"/>
    <w:basedOn w:val="661"/>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basedOn w:val="671"/>
    <w:link w:val="710"/>
    <w:uiPriority w:val="10"/>
    <w:qFormat/>
    <w:rPr>
      <w:sz w:val="48"/>
      <w:szCs w:val="48"/>
    </w:rPr>
  </w:style>
  <w:style w:type="character" w:styleId="737" w:customStyle="1">
    <w:name w:val="Subtitle Char"/>
    <w:basedOn w:val="671"/>
    <w:link w:val="703"/>
    <w:uiPriority w:val="11"/>
    <w:qFormat/>
    <w:rPr>
      <w:sz w:val="24"/>
      <w:szCs w:val="24"/>
    </w:rPr>
  </w:style>
  <w:style w:type="paragraph" w:styleId="738">
    <w:name w:val="Quote"/>
    <w:basedOn w:val="661"/>
    <w:next w:val="661"/>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61"/>
    <w:next w:val="661"/>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basedOn w:val="671"/>
    <w:uiPriority w:val="99"/>
    <w:qFormat/>
  </w:style>
  <w:style w:type="character" w:styleId="743" w:customStyle="1">
    <w:name w:val="Footer Char"/>
    <w:basedOn w:val="671"/>
    <w:uiPriority w:val="99"/>
    <w:qFormat/>
  </w:style>
  <w:style w:type="character" w:styleId="744" w:customStyle="1">
    <w:name w:val="Caption Char"/>
    <w:uiPriority w:val="99"/>
    <w:qFormat/>
  </w:style>
  <w:style w:type="table" w:styleId="745" w:customStyle="1">
    <w:name w:val="Table Grid Light"/>
    <w:basedOn w:val="6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basedOn w:val="6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basedOn w:val="6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6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7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basedOn w:val="67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basedOn w:val="67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basedOn w:val="67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basedOn w:val="67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basedOn w:val="67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basedOn w:val="6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basedOn w:val="6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basedOn w:val="67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basedOn w:val="6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basedOn w:val="67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0" w:customStyle="1">
    <w:name w:val="Grid Table 6 Colorful - Accent 4"/>
    <w:basedOn w:val="6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basedOn w:val="67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basedOn w:val="67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basedOn w:val="6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7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7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7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7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7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7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basedOn w:val="6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7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7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7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7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7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7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basedOn w:val="6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basedOn w:val="67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basedOn w:val="67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basedOn w:val="67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basedOn w:val="67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basedOn w:val="67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basedOn w:val="67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basedOn w:val="6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basedOn w:val="67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basedOn w:val="6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basedOn w:val="67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basedOn w:val="6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basedOn w:val="67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basedOn w:val="67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basedOn w:val="6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basedOn w:val="67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basedOn w:val="67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basedOn w:val="67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basedOn w:val="67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basedOn w:val="67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basedOn w:val="67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basedOn w:val="6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basedOn w:val="67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7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7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7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7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7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6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basedOn w:val="67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basedOn w:val="67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basedOn w:val="67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basedOn w:val="67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basedOn w:val="67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basedOn w:val="67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basedOn w:val="6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7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7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7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7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7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7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basedOn w:val="6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basedOn w:val="6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basedOn w:val="67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basedOn w:val="67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basedOn w:val="67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basedOn w:val="67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basedOn w:val="67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basedOn w:val="67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basedOn w:val="6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basedOn w:val="6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basedOn w:val="6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basedOn w:val="6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basedOn w:val="6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basedOn w:val="6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basedOn w:val="6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04"/>
    <w:uiPriority w:val="99"/>
    <w:qFormat/>
    <w:rPr>
      <w:sz w:val="18"/>
    </w:rPr>
  </w:style>
  <w:style w:type="character" w:styleId="871" w:customStyle="1">
    <w:name w:val="Endnote Text Char"/>
    <w:link w:val="698"/>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character" w:styleId="873" w:customStyle="1">
    <w:name w:val="正文文本缩进 Char"/>
    <w:basedOn w:val="671"/>
    <w:link w:val="688"/>
    <w:uiPriority w:val="0"/>
    <w:qFormat/>
    <w:rPr>
      <w:sz w:val="21"/>
      <w:szCs w:val="24"/>
    </w:rPr>
  </w:style>
  <w:style w:type="paragraph" w:styleId="874" w:customStyle="1">
    <w:name w:val="默认段落字体 Para Char Char Char Char Char Char Char"/>
    <w:basedOn w:val="661"/>
    <w:uiPriority w:val="0"/>
    <w:qFormat/>
    <w:rPr>
      <w:rFonts w:ascii="Tahoma" w:hAnsi="Tahoma"/>
      <w:sz w:val="24"/>
      <w:szCs w:val="20"/>
    </w:rPr>
  </w:style>
  <w:style w:type="paragraph" w:styleId="875" w:customStyle="1">
    <w:name w:val="Char"/>
    <w:basedOn w:val="661"/>
    <w:uiPriority w:val="0"/>
    <w:qFormat/>
    <w:pPr>
      <w:tabs>
        <w:tab w:val="left" w:pos="360" w:leader="none"/>
      </w:tabs>
    </w:pPr>
    <w:rPr>
      <w:sz w:val="24"/>
    </w:rPr>
  </w:style>
  <w:style w:type="paragraph" w:styleId="876" w:customStyle="1">
    <w:name w:val="普通正文"/>
    <w:basedOn w:val="661"/>
    <w:uiPriority w:val="0"/>
    <w:qFormat/>
    <w:pPr>
      <w:ind w:firstLine="480"/>
      <w:jc w:val="left"/>
      <w:spacing w:before="120" w:after="120" w:line="360" w:lineRule="auto"/>
    </w:pPr>
    <w:rPr>
      <w:rFonts w:ascii="Arial" w:hAnsi="Arial"/>
      <w:sz w:val="24"/>
    </w:rPr>
  </w:style>
  <w:style w:type="paragraph" w:styleId="877" w:customStyle="1">
    <w:name w:val="p0"/>
    <w:basedOn w:val="661"/>
    <w:uiPriority w:val="0"/>
    <w:qFormat/>
    <w:pPr>
      <w:widowControl/>
    </w:pPr>
    <w:rPr>
      <w:szCs w:val="21"/>
    </w:rPr>
  </w:style>
  <w:style w:type="paragraph" w:styleId="878" w:customStyle="1">
    <w:name w:val="Default"/>
    <w:basedOn w:val="661"/>
    <w:uiPriority w:val="0"/>
    <w:qFormat/>
    <w:rPr>
      <w:rFonts w:ascii="宋体" w:hAnsi="宋体" w:cs="宋体"/>
      <w:color w:val="000000"/>
      <w:sz w:val="24"/>
    </w:rPr>
  </w:style>
  <w:style w:type="paragraph" w:styleId="879" w:customStyle="1">
    <w:name w:val="正文首行缩进 21"/>
    <w:basedOn w:val="880"/>
    <w:uiPriority w:val="0"/>
    <w:qFormat/>
    <w:pPr>
      <w:ind w:firstLine="420"/>
      <w:spacing w:line="357" w:lineRule="atLeast"/>
    </w:pPr>
    <w:rPr>
      <w:color w:val="000000"/>
      <w:sz w:val="20"/>
      <w:szCs w:val="20"/>
    </w:rPr>
  </w:style>
  <w:style w:type="paragraph" w:styleId="880" w:customStyle="1">
    <w:name w:val="正文文本缩进1"/>
    <w:basedOn w:val="685"/>
    <w:uiPriority w:val="99"/>
    <w:qFormat/>
    <w:pPr>
      <w:ind w:firstLine="420"/>
      <w:jc w:val="left"/>
    </w:pPr>
    <w:rPr>
      <w:rFonts w:ascii="宋体" w:hAnsi="宋体"/>
      <w:sz w:val="34"/>
      <w:szCs w:val="20"/>
    </w:rPr>
  </w:style>
  <w:style w:type="character" w:styleId="881" w:customStyle="1">
    <w:name w:val="16"/>
    <w:basedOn w:val="671"/>
    <w:uiPriority w:val="0"/>
    <w:qFormat/>
    <w:rPr>
      <w:rFonts w:hint="eastAsia" w:ascii="黑体" w:hAnsi="宋体" w:eastAsia="黑体" w:cs="黑体"/>
      <w:color w:val="000000"/>
      <w:sz w:val="44"/>
      <w:szCs w:val="44"/>
    </w:rPr>
  </w:style>
  <w:style w:type="character" w:styleId="882" w:customStyle="1">
    <w:name w:val="15"/>
    <w:basedOn w:val="671"/>
    <w:uiPriority w:val="0"/>
    <w:qFormat/>
    <w:rPr>
      <w:rFonts w:hint="eastAsia" w:ascii="仿宋" w:hAnsi="仿宋" w:eastAsia="仿宋" w:cs="仿宋"/>
      <w:color w:val="000000"/>
      <w:sz w:val="18"/>
      <w:szCs w:val="18"/>
    </w:rPr>
  </w:style>
  <w:style w:type="paragraph" w:styleId="883" w:customStyle="1">
    <w:name w:val="Table Paragraph"/>
    <w:basedOn w:val="661"/>
    <w:uiPriority w:val="1"/>
    <w:qFormat/>
    <w:rPr>
      <w:rFonts w:ascii="宋体" w:hAnsi="宋体" w:cs="宋体"/>
      <w:lang w:val="zh-CN" w:bidi="zh-CN"/>
    </w:rPr>
  </w:style>
  <w:style w:type="character" w:styleId="884" w:customStyle="1">
    <w:name w:val="正文首行缩进 2 Char"/>
    <w:basedOn w:val="873"/>
    <w:link w:val="711"/>
    <w:uiPriority w:val="0"/>
    <w:qFormat/>
  </w:style>
  <w:style w:type="character" w:styleId="885" w:customStyle="1">
    <w:name w:val="纯文本 Char"/>
    <w:basedOn w:val="671"/>
    <w:link w:val="694"/>
    <w:uiPriority w:val="0"/>
    <w:qFormat/>
    <w:rPr>
      <w:rFonts w:ascii="宋体" w:hAnsi="Courier New"/>
      <w:sz w:val="21"/>
      <w:szCs w:val="21"/>
    </w:rPr>
  </w:style>
  <w:style w:type="paragraph" w:styleId="886" w:customStyle="1">
    <w:name w:val="正文（缩进）"/>
    <w:basedOn w:val="661"/>
    <w:uiPriority w:val="0"/>
    <w:qFormat/>
    <w:pPr>
      <w:ind w:firstLine="480"/>
      <w:spacing w:line="360" w:lineRule="auto"/>
    </w:pPr>
    <w:rPr>
      <w:sz w:val="24"/>
    </w:rPr>
  </w:style>
  <w:style w:type="paragraph" w:styleId="887" w:customStyle="1">
    <w:name w:val="正文缩进1"/>
    <w:basedOn w:val="661"/>
    <w:uiPriority w:val="99"/>
    <w:qFormat/>
    <w:pPr>
      <w:ind w:firstLine="420"/>
    </w:pPr>
  </w:style>
  <w:style w:type="paragraph" w:styleId="888" w:customStyle="1">
    <w:name w:val="寄信人地址11"/>
    <w:basedOn w:val="661"/>
    <w:uiPriority w:val="0"/>
    <w:qFormat/>
    <w:pPr>
      <w:ind w:firstLine="200"/>
    </w:pPr>
    <w:rPr>
      <w:rFonts w:ascii="Arial" w:hAnsi="Arial" w:eastAsia="仿宋_GB2312" w:cs="Arial"/>
    </w:rPr>
  </w:style>
  <w:style w:type="paragraph" w:styleId="889" w:customStyle="1">
    <w:name w:val="_HT_正文"/>
    <w:basedOn w:val="661"/>
    <w:uiPriority w:val="0"/>
    <w:qFormat/>
    <w:pPr>
      <w:ind w:firstLine="200"/>
      <w:spacing w:line="360" w:lineRule="auto"/>
    </w:pPr>
    <w:rPr>
      <w:sz w:val="24"/>
    </w:rPr>
  </w:style>
  <w:style w:type="paragraph" w:styleId="890" w:customStyle="1">
    <w:name w:val="正文文本 21"/>
    <w:basedOn w:val="661"/>
    <w:next w:val="661"/>
    <w:uiPriority w:val="0"/>
    <w:qFormat/>
    <w:pPr>
      <w:ind w:right="-198"/>
      <w:jc w:val="center"/>
      <w:tabs>
        <w:tab w:val="left" w:pos="9072" w:leader="none"/>
      </w:tabs>
      <w:outlineLvl w:val="0"/>
    </w:pPr>
    <w:rPr>
      <w:rFonts w:ascii="宋体" w:hAnsi="宋体"/>
      <w:b/>
      <w:sz w:val="60"/>
    </w:rPr>
  </w:style>
  <w:style w:type="paragraph" w:styleId="891" w:customStyle="1">
    <w:name w:val="列出段落5"/>
    <w:basedOn w:val="661"/>
    <w:uiPriority w:val="34"/>
    <w:qFormat/>
    <w:pPr>
      <w:contextualSpacing/>
      <w:ind w:left="720"/>
      <w:jc w:val="left"/>
      <w:spacing w:after="200" w:line="276" w:lineRule="auto"/>
      <w:widowControl/>
    </w:pPr>
    <w:rPr>
      <w:sz w:val="22"/>
    </w:rPr>
  </w:style>
  <w:style w:type="table" w:styleId="892" w:customStyle="1">
    <w:name w:val="网格型1"/>
    <w:basedOn w:val="893"/>
    <w:uiPriority w:val="0"/>
    <w:qFormat/>
    <w:pPr>
      <w:jc w:val="both"/>
      <w:widowControl w:val="off"/>
    </w:pPr>
    <w:tblPr/>
  </w:style>
  <w:style w:type="table" w:styleId="893" w:customStyle="1">
    <w:name w:val="普通表格1"/>
    <w:uiPriority w:val="0"/>
    <w:semiHidden/>
    <w:qFormat/>
    <w:tblPr/>
  </w:style>
  <w:style w:type="paragraph" w:styleId="894" w:customStyle="1">
    <w:name w:val="普通(网站)11"/>
    <w:basedOn w:val="661"/>
    <w:uiPriority w:val="0"/>
    <w:qFormat/>
    <w:pPr>
      <w:jc w:val="left"/>
      <w:spacing w:before="100" w:beforeAutospacing="1" w:after="100" w:afterAutospacing="1"/>
      <w:widowControl/>
    </w:pPr>
    <w:rPr>
      <w:rFonts w:ascii="宋体" w:hAnsi="宋体" w:cs="宋体"/>
      <w:sz w:val="24"/>
    </w:rPr>
  </w:style>
  <w:style w:type="paragraph" w:styleId="895" w:customStyle="1">
    <w:name w:val="文本块1"/>
    <w:basedOn w:val="661"/>
    <w:uiPriority w:val="6"/>
    <w:qFormat/>
    <w:pPr>
      <w:ind w:left="256" w:right="6" w:firstLine="624"/>
    </w:pPr>
    <w:rPr>
      <w:rFonts w:ascii="Times New Roman" w:hAnsi="Times New Roman" w:eastAsia="仿宋" w:cs="Times New Roman"/>
      <w:sz w:val="28"/>
      <w:szCs w:val="20"/>
    </w:rPr>
  </w:style>
  <w:style w:type="character" w:styleId="896" w:customStyle="1">
    <w:name w:val="font81"/>
    <w:basedOn w:val="671"/>
    <w:uiPriority w:val="0"/>
    <w:qFormat/>
    <w:rPr>
      <w:rFonts w:hint="eastAsia" w:ascii="宋体" w:hAnsi="宋体" w:eastAsia="宋体" w:cs="宋体"/>
      <w:color w:val="000000"/>
      <w:sz w:val="22"/>
      <w:szCs w:val="22"/>
      <w:u w:val="none"/>
    </w:rPr>
  </w:style>
  <w:style w:type="character" w:styleId="897" w:customStyle="1">
    <w:name w:val="NormalCharacter1"/>
    <w:link w:val="661"/>
    <w:uiPriority w:val="0"/>
    <w:semiHidden/>
    <w:qFormat/>
    <w:rPr>
      <w:rFonts w:hint="default" w:ascii="Times New Roman" w:hAnsi="Times New Roman" w:eastAsia="宋体" w:cs="Times New Roman"/>
      <w:sz w:val="21"/>
      <w:szCs w:val="24"/>
    </w:rPr>
  </w:style>
  <w:style w:type="paragraph" w:styleId="898" w:customStyle="1">
    <w:name w:val="正文1111"/>
    <w:next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文本块11"/>
    <w:basedOn w:val="681"/>
    <w:uiPriority w:val="0"/>
    <w:qFormat/>
    <w:pPr>
      <w:ind w:left="256" w:right="6" w:firstLine="624"/>
    </w:pPr>
    <w:rPr>
      <w:rFonts w:ascii="仿宋_GB2312" w:eastAsia="仿宋_GB2312"/>
      <w:sz w:val="30"/>
      <w:szCs w:val="20"/>
    </w:rPr>
  </w:style>
  <w:style w:type="paragraph" w:styleId="900" w:customStyle="1">
    <w:name w:val="脚注文本1"/>
    <w:basedOn w:val="685"/>
    <w:next w:val="901"/>
    <w:uiPriority w:val="0"/>
    <w:qFormat/>
    <w:pPr>
      <w:jc w:val="left"/>
    </w:pPr>
    <w:rPr>
      <w:rFonts w:ascii="宋体" w:eastAsia="Times New Roman"/>
    </w:rPr>
  </w:style>
  <w:style w:type="paragraph" w:styleId="901" w:customStyle="1">
    <w:name w:val="索引 51"/>
    <w:basedOn w:val="685"/>
    <w:next w:val="685"/>
    <w:uiPriority w:val="0"/>
    <w:qFormat/>
    <w:pPr>
      <w:ind w:left="798"/>
      <w:jc w:val="left"/>
    </w:pPr>
    <w:rPr>
      <w:rFonts w:ascii="Calibri" w:hAnsi="Calibri"/>
    </w:rPr>
  </w:style>
  <w:style w:type="paragraph" w:styleId="902" w:customStyle="1">
    <w:name w:val="信息标题1"/>
    <w:basedOn w:val="661"/>
    <w:next w:val="90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3" w:customStyle="1">
    <w:name w:val="正文文本12"/>
    <w:basedOn w:val="661"/>
    <w:next w:val="661"/>
    <w:uiPriority w:val="99"/>
    <w:qFormat/>
    <w:pPr>
      <w:spacing w:after="120"/>
    </w:pPr>
  </w:style>
  <w:style w:type="character" w:styleId="904" w:customStyle="1">
    <w:name w:val="超链接1"/>
    <w:link w:val="661"/>
    <w:uiPriority w:val="99"/>
    <w:unhideWhenUsed/>
    <w:qFormat/>
    <w:rPr>
      <w:color w:val="0000ff"/>
      <w:u w:val="single"/>
    </w:rPr>
  </w:style>
  <w:style w:type="paragraph" w:styleId="905" w:customStyle="1">
    <w:name w:val="列表段落1"/>
    <w:basedOn w:val="685"/>
    <w:next w:val="661"/>
    <w:uiPriority w:val="99"/>
    <w:qFormat/>
    <w:pPr>
      <w:ind w:firstLine="420"/>
    </w:pPr>
  </w:style>
  <w:style w:type="paragraph" w:styleId="906" w:customStyle="1">
    <w:name w:val="正文文本11"/>
    <w:basedOn w:val="679"/>
    <w:next w:val="677"/>
    <w:uiPriority w:val="0"/>
    <w:qFormat/>
    <w:pPr>
      <w:spacing w:after="120"/>
    </w:pPr>
  </w:style>
  <w:style w:type="paragraph" w:styleId="90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8" w:customStyle="1">
    <w:name w:val="纯文本1"/>
    <w:basedOn w:val="679"/>
    <w:uiPriority w:val="0"/>
    <w:qFormat/>
    <w:rPr>
      <w:rFonts w:ascii="宋体" w:hAnsi="Courier New"/>
      <w:sz w:val="21"/>
      <w:szCs w:val="21"/>
    </w:rPr>
  </w:style>
  <w:style w:type="paragraph" w:styleId="909"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910" w:customStyle="1">
    <w:name w:val="页脚1"/>
    <w:basedOn w:val="685"/>
    <w:uiPriority w:val="0"/>
    <w:qFormat/>
    <w:pPr>
      <w:jc w:val="left"/>
      <w:tabs>
        <w:tab w:val="center" w:pos="4153" w:leader="none"/>
        <w:tab w:val="right" w:pos="8306" w:leader="none"/>
      </w:tabs>
    </w:pPr>
    <w:rPr>
      <w:sz w:val="18"/>
      <w:szCs w:val="18"/>
    </w:rPr>
  </w:style>
  <w:style w:type="character" w:styleId="911" w:customStyle="1">
    <w:name w:val="页码1"/>
    <w:uiPriority w:val="0"/>
    <w:qFormat/>
  </w:style>
  <w:style w:type="character" w:styleId="912" w:customStyle="1">
    <w:name w:val="font71"/>
    <w:basedOn w:val="671"/>
    <w:uiPriority w:val="0"/>
    <w:qFormat/>
    <w:rPr>
      <w:rFonts w:hint="eastAsia" w:ascii="宋体" w:hAnsi="宋体" w:eastAsia="宋体" w:cs="宋体"/>
      <w:color w:val="000000"/>
      <w:sz w:val="22"/>
      <w:szCs w:val="22"/>
      <w:u w:val="none"/>
    </w:rPr>
  </w:style>
  <w:style w:type="character" w:styleId="913" w:customStyle="1">
    <w:name w:val="font11"/>
    <w:basedOn w:val="671"/>
    <w:uiPriority w:val="0"/>
    <w:qFormat/>
    <w:rPr>
      <w:rFonts w:ascii="微软雅黑" w:hAnsi="微软雅黑" w:eastAsia="微软雅黑" w:cs="微软雅黑"/>
      <w:color w:val="000000"/>
      <w:sz w:val="22"/>
      <w:szCs w:val="22"/>
      <w:u w:val="none"/>
    </w:rPr>
  </w:style>
  <w:style w:type="paragraph" w:styleId="914" w:customStyle="1">
    <w:name w:val="文本块111"/>
    <w:basedOn w:val="661"/>
    <w:next w:val="661"/>
    <w:uiPriority w:val="6"/>
    <w:unhideWhenUsed/>
    <w:qFormat/>
    <w:pPr>
      <w:ind w:left="1440" w:right="1440"/>
      <w:spacing w:after="120"/>
    </w:pPr>
  </w:style>
  <w:style w:type="paragraph" w:styleId="915" w:customStyle="1">
    <w:name w:val="粗字体子题目"/>
    <w:uiPriority w:val="0"/>
    <w:qFormat/>
    <w:pPr>
      <w:jc w:val="both"/>
      <w:spacing w:line="0" w:lineRule="atLeast"/>
      <w:shd w:val="clear" w:color="auto" w:fill="feffff"/>
    </w:pPr>
    <w:rPr>
      <w:rFonts w:hint="default" w:ascii="Arial" w:hAnsi="Arial" w:eastAsia="宋体" w:cs="Times New Roman"/>
      <w:b/>
      <w:color w:val="010000"/>
      <w:sz w:val="24"/>
      <w:lang w:val="en-US" w:eastAsia="zh-CN" w:bidi="ar-SA"/>
    </w:rPr>
  </w:style>
  <w:style w:type="paragraph" w:styleId="916" w:customStyle="1">
    <w:name w:val="内容样式"/>
    <w:basedOn w:val="683"/>
    <w:uiPriority w:val="0"/>
    <w:qFormat/>
    <w:pPr>
      <w:ind w:firstLine="560"/>
      <w:spacing w:line="460" w:lineRule="exact"/>
      <w:widowControl w:val="off"/>
    </w:pPr>
    <w:rPr>
      <w:rFonts w:ascii="仿宋_GB2312" w:hAnsi="仿宋_GB2312" w:eastAsia="仿宋_GB2312"/>
      <w:sz w:val="28"/>
      <w:szCs w:val="22"/>
    </w:rPr>
  </w:style>
  <w:style w:type="paragraph" w:styleId="917" w:customStyle="1">
    <w:name w:val="列出段落"/>
    <w:uiPriority w:val="0"/>
    <w:qFormat/>
    <w:pPr>
      <w:contextualSpacing/>
      <w:ind w:left="720"/>
    </w:pPr>
    <w:rPr>
      <w:rFonts w:hint="default" w:ascii="Times New Roman" w:hAnsi="Times New Roman" w:eastAsia="宋体" w:cs="Times New Roman"/>
      <w:lang w:val="en-US" w:eastAsia="zh-CN" w:bidi="ar-SA"/>
    </w:rPr>
  </w:style>
  <w:style w:type="paragraph" w:styleId="918" w:customStyle="1">
    <w:name w:val="标题1"/>
    <w:uiPriority w:val="0"/>
    <w:qFormat/>
    <w:pPr>
      <w:contextualSpacing/>
      <w:spacing w:before="300" w:after="200"/>
    </w:pPr>
    <w:rPr>
      <w:rFonts w:hint="default" w:ascii="Times New Roman" w:hAnsi="Times New Roman" w:eastAsia="宋体" w:cs="Times New Roman"/>
      <w:sz w:val="48"/>
      <w:szCs w:val="48"/>
      <w:lang w:bidi="ar-SA"/>
    </w:rPr>
  </w:style>
  <w:style w:type="paragraph" w:styleId="919" w:customStyle="1">
    <w:name w:val="！A正文小四"/>
    <w:basedOn w:val="661"/>
    <w:uiPriority w:val="0"/>
    <w:qFormat/>
    <w:pPr>
      <w:jc w:val="left"/>
      <w:spacing w:line="360" w:lineRule="auto"/>
      <w:widowControl/>
    </w:pPr>
    <w:rPr>
      <w:sz w:val="24"/>
      <w:lang w:val="zh-CN"/>
    </w:rPr>
  </w:style>
  <w:style w:type="character" w:styleId="920" w:customStyle="1">
    <w:name w:val="font21"/>
    <w:basedOn w:val="671"/>
    <w:uiPriority w:val="0"/>
    <w:qFormat/>
    <w:rPr>
      <w:rFonts w:hint="eastAsia" w:ascii="宋体" w:hAnsi="宋体" w:eastAsia="宋体" w:cs="宋体"/>
      <w:color w:val="000000"/>
      <w:sz w:val="16"/>
      <w:szCs w:val="16"/>
      <w:u w:val="none"/>
    </w:rPr>
  </w:style>
  <w:style w:type="character" w:styleId="921" w:customStyle="1">
    <w:name w:val="font01"/>
    <w:basedOn w:val="671"/>
    <w:uiPriority w:val="0"/>
    <w:qFormat/>
    <w:rPr>
      <w:rFonts w:hint="eastAsia" w:ascii="宋体" w:hAnsi="宋体" w:eastAsia="宋体" w:cs="宋体"/>
      <w:color w:val="000000"/>
      <w:sz w:val="22"/>
      <w:szCs w:val="22"/>
      <w:u w:val="none"/>
    </w:rPr>
  </w:style>
  <w:style w:type="character" w:styleId="922" w:customStyle="1">
    <w:name w:val="font31"/>
    <w:basedOn w:val="671"/>
    <w:uiPriority w:val="0"/>
    <w:qFormat/>
    <w:rPr>
      <w:rFonts w:hint="eastAsia" w:ascii="宋体" w:hAnsi="宋体" w:eastAsia="宋体" w:cs="宋体"/>
      <w:b/>
      <w:bCs/>
      <w:color w:val="000000"/>
      <w:sz w:val="16"/>
      <w:szCs w:val="16"/>
      <w:u w:val="none"/>
    </w:rPr>
  </w:style>
  <w:style w:type="paragraph" w:styleId="923" w:customStyle="1">
    <w:name w:val="正文文本111"/>
    <w:basedOn w:val="661"/>
    <w:next w:val="681"/>
    <w:uiPriority w:val="0"/>
    <w:qFormat/>
    <w:rPr>
      <w:rFonts w:ascii="楷体_GB2312" w:hAnsi="Arial" w:eastAsia="楷体_GB2312"/>
      <w:sz w:val="28"/>
      <w:szCs w:val="28"/>
      <w:lang w:eastAsia="en-US"/>
    </w:rPr>
  </w:style>
  <w:style w:type="numbering" w:styleId="103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王霄霄</cp:lastModifiedBy>
  <cp:revision>243</cp:revision>
  <dcterms:created xsi:type="dcterms:W3CDTF">2024-01-26T07:00:00Z</dcterms:created>
  <dcterms:modified xsi:type="dcterms:W3CDTF">2025-12-29T03:16:12Z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243277F085AA4273895379DFD3DF5CA5_13</vt:lpwstr>
  </property>
  <property fmtid="{D5CDD505-2E9C-101B-9397-08002B2CF9AE}" pid="4" name="KSOTemplateDocerSaveRecord">
    <vt:lpwstr>eyJoZGlkIjoiOTRiYzdkZDk4ZWZjNjFlMWMwMjNiOGRhODIwZjAyYTciLCJ1c2VySWQiOiI1NzUzOTM2NTYifQ==</vt:lpwstr>
  </property>
</Properties>
</file>